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
          <w:kern w:val="2"/>
          <w:sz w:val="44"/>
          <w:szCs w:val="44"/>
          <w:highlight w:val="none"/>
          <w:lang w:val="en-US" w:eastAsia="zh-CN" w:bidi="ar"/>
        </w:rPr>
      </w:pPr>
      <w:r>
        <w:rPr>
          <w:rFonts w:hint="eastAsia" w:asciiTheme="minorEastAsia" w:hAnsiTheme="minorEastAsia" w:eastAsiaTheme="minorEastAsia" w:cstheme="minorEastAsia"/>
          <w:b/>
          <w:kern w:val="2"/>
          <w:sz w:val="44"/>
          <w:szCs w:val="44"/>
          <w:highlight w:val="none"/>
          <w:lang w:val="en-US" w:eastAsia="zh-CN" w:bidi="ar"/>
        </w:rPr>
        <w:t>黄埔公园片区综合维护管理服务项目</w:t>
      </w:r>
    </w:p>
    <w:p>
      <w:pPr>
        <w:keepNext w:val="0"/>
        <w:keepLines w:val="0"/>
        <w:widowControl w:val="0"/>
        <w:suppressLineNumbers w:val="0"/>
        <w:spacing w:before="0" w:beforeAutospacing="0" w:after="0" w:afterAutospacing="0"/>
        <w:ind w:left="0" w:right="0"/>
        <w:jc w:val="center"/>
        <w:rPr>
          <w:rFonts w:hint="eastAsia" w:asciiTheme="minorEastAsia" w:hAnsiTheme="minorEastAsia" w:eastAsiaTheme="minorEastAsia" w:cstheme="minorEastAsia"/>
          <w:b/>
          <w:kern w:val="2"/>
          <w:sz w:val="44"/>
          <w:szCs w:val="44"/>
          <w:highlight w:val="none"/>
        </w:rPr>
      </w:pPr>
      <w:r>
        <w:rPr>
          <w:rFonts w:hint="eastAsia" w:asciiTheme="minorEastAsia" w:hAnsiTheme="minorEastAsia" w:eastAsiaTheme="minorEastAsia" w:cstheme="minorEastAsia"/>
          <w:b/>
          <w:kern w:val="2"/>
          <w:sz w:val="44"/>
          <w:szCs w:val="44"/>
          <w:highlight w:val="none"/>
          <w:lang w:val="en-US" w:eastAsia="zh-CN" w:bidi="ar"/>
        </w:rPr>
        <w:t>采购需求书</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Theme="minorEastAsia" w:hAnsiTheme="minorEastAsia" w:eastAsiaTheme="minorEastAsia" w:cstheme="minorEastAsia"/>
          <w:b/>
          <w:bCs w:val="0"/>
          <w:kern w:val="2"/>
          <w:sz w:val="24"/>
          <w:szCs w:val="24"/>
          <w:highlight w:val="none"/>
          <w:lang w:val="en-US" w:eastAsia="zh-CN" w:bidi="ar"/>
        </w:rPr>
      </w:pP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Theme="minorEastAsia" w:hAnsiTheme="minorEastAsia" w:eastAsiaTheme="minorEastAsia" w:cstheme="minorEastAsia"/>
          <w:b/>
          <w:bCs w:val="0"/>
          <w:sz w:val="24"/>
          <w:szCs w:val="24"/>
          <w:highlight w:val="none"/>
          <w:lang w:val="en-US"/>
        </w:rPr>
      </w:pPr>
      <w:r>
        <w:rPr>
          <w:rFonts w:hint="eastAsia" w:asciiTheme="minorEastAsia" w:hAnsiTheme="minorEastAsia" w:eastAsiaTheme="minorEastAsia" w:cstheme="minorEastAsia"/>
          <w:b/>
          <w:bCs w:val="0"/>
          <w:kern w:val="2"/>
          <w:sz w:val="24"/>
          <w:szCs w:val="24"/>
          <w:highlight w:val="none"/>
          <w:lang w:val="en-US" w:eastAsia="zh-CN" w:bidi="ar"/>
        </w:rPr>
        <w:t>一、项目概况</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（一）</w:t>
      </w:r>
      <w:r>
        <w:rPr>
          <w:rFonts w:hint="eastAsia" w:asciiTheme="minorEastAsia" w:hAnsiTheme="minorEastAsia" w:eastAsiaTheme="minorEastAsia" w:cstheme="minorEastAsia"/>
          <w:sz w:val="24"/>
          <w:highlight w:val="none"/>
        </w:rPr>
        <w:t>本采购项目为黄埔公园片区综合维护管理服务项目，本次采购</w:t>
      </w:r>
      <w:bookmarkStart w:id="0" w:name="_Toc377390838"/>
      <w:bookmarkStart w:id="1" w:name="_Toc75"/>
      <w:bookmarkStart w:id="2" w:name="_Toc377390939"/>
      <w:r>
        <w:rPr>
          <w:rFonts w:hint="eastAsia" w:asciiTheme="minorEastAsia" w:hAnsiTheme="minorEastAsia" w:eastAsiaTheme="minorEastAsia" w:cstheme="minorEastAsia"/>
          <w:sz w:val="24"/>
          <w:highlight w:val="none"/>
        </w:rPr>
        <w:t>确定一家中标供应商，为采购人提供公园综合维护管理服务。本项目管理服务内容包括：黄埔公园、荔枝公园</w:t>
      </w: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rPr>
        <w:t>秦岭公园、文园山公园</w:t>
      </w:r>
      <w:r>
        <w:rPr>
          <w:rFonts w:hint="eastAsia" w:asciiTheme="minorEastAsia" w:hAnsiTheme="minorEastAsia" w:eastAsiaTheme="minorEastAsia" w:cstheme="minorEastAsia"/>
          <w:sz w:val="24"/>
          <w:highlight w:val="none"/>
          <w:lang w:eastAsia="zh-CN"/>
        </w:rPr>
        <w:t>、</w:t>
      </w:r>
      <w:r>
        <w:rPr>
          <w:rFonts w:hint="eastAsia" w:asciiTheme="minorEastAsia" w:hAnsiTheme="minorEastAsia" w:eastAsiaTheme="minorEastAsia" w:cstheme="minorEastAsia"/>
          <w:sz w:val="24"/>
          <w:highlight w:val="none"/>
        </w:rPr>
        <w:t>牛山炮台公园的绿化养护服务、安全巡查服务、白蚁防治服务。</w:t>
      </w:r>
      <w:bookmarkEnd w:id="0"/>
      <w:bookmarkEnd w:id="1"/>
      <w:bookmarkEnd w:id="2"/>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（二）</w:t>
      </w:r>
      <w:r>
        <w:rPr>
          <w:rFonts w:hint="eastAsia" w:asciiTheme="minorEastAsia" w:hAnsiTheme="minorEastAsia" w:eastAsiaTheme="minorEastAsia" w:cstheme="minorEastAsia"/>
          <w:sz w:val="24"/>
          <w:highlight w:val="none"/>
        </w:rPr>
        <w:t>公园概况：黄埔公园位于广州市黄埔区黄埔东路68号，总面积101567.6㎡，其中水体面积7806㎡，绿地面积71959㎡，园路广场面积21802.6㎡，厕所3座。荔枝公园位于广州市黄埔区三多路黄埔区图书馆对面，总面积23561.54㎡，其中水体面积2737㎡，绿地面积16331.84㎡，园路广场面积4492.7㎡，厕所1座。秦岭公园位于广州市黄埔区茅岗新村企岭街，总面积20390㎡，其中绿地面积17918㎡，园路广场面积2472㎡，厕所1座。文园山公园位于广州市黄埔区文冲文园村文元路，总面积56000㎡，其中绿地面积49751㎡，园路广场6249㎡，厕所1座。牛山炮台公园位于广州市黄埔区红山一路文船俱乐部旁，总面积为125000㎡，其中绿地面积114023㎡，园路广场面积10977㎡，厕所2座。</w:t>
      </w:r>
      <w:r>
        <w:rPr>
          <w:rFonts w:hint="eastAsia" w:asciiTheme="minorEastAsia" w:hAnsiTheme="minorEastAsia" w:eastAsiaTheme="minorEastAsia" w:cstheme="minorEastAsia"/>
          <w:kern w:val="2"/>
          <w:sz w:val="24"/>
          <w:szCs w:val="24"/>
          <w:highlight w:val="none"/>
          <w:lang w:val="en-US" w:eastAsia="zh-CN" w:bidi="ar"/>
        </w:rPr>
        <w:t>以上工程量作为招标的大致数量，实际数量以中标后</w:t>
      </w:r>
      <w:r>
        <w:rPr>
          <w:rFonts w:hint="eastAsia" w:asciiTheme="minorEastAsia" w:hAnsiTheme="minorEastAsia" w:eastAsiaTheme="minorEastAsia" w:cstheme="minorEastAsia"/>
          <w:color w:val="000000"/>
          <w:kern w:val="2"/>
          <w:sz w:val="24"/>
          <w:szCs w:val="24"/>
          <w:highlight w:val="none"/>
          <w:lang w:val="en-US" w:eastAsia="zh-CN" w:bidi="ar"/>
        </w:rPr>
        <w:t>以新旧管理单位、采购人确定的监理单位三方共同核实为准</w:t>
      </w:r>
      <w:r>
        <w:rPr>
          <w:rFonts w:hint="eastAsia" w:asciiTheme="minorEastAsia" w:hAnsiTheme="minorEastAsia" w:eastAsiaTheme="minorEastAsia" w:cstheme="minorEastAsia"/>
          <w:kern w:val="2"/>
          <w:sz w:val="24"/>
          <w:szCs w:val="24"/>
          <w:highlight w:val="none"/>
          <w:lang w:val="en-US" w:eastAsia="zh-CN" w:bidi="ar"/>
        </w:rPr>
        <w:t>。因公园规划、管理等原因，管理过程中会存在数量的变化，管理服务费按照实际进行结算。</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（三）本项目为公园综合维护管理服务项目，投标人必须对本项目整体投标，不得拆分。本次采购不接受联合投标的方式、不允许转包。</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（四）本项目采购预算为：约1893万元，服务期为3年（36个月）。服务期间，采购人将按招、投标文件内容对中标供应商进行考核。如遇国家法律法规或上级政策变动而终止本项目，采购人将不承担任何责任。</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（五）</w:t>
      </w:r>
      <w:r>
        <w:rPr>
          <w:rFonts w:hint="eastAsia" w:asciiTheme="minorEastAsia" w:hAnsiTheme="minorEastAsia" w:eastAsiaTheme="minorEastAsia" w:cstheme="minorEastAsia"/>
          <w:sz w:val="24"/>
          <w:szCs w:val="24"/>
          <w:highlight w:val="none"/>
          <w:lang w:bidi="ar"/>
        </w:rPr>
        <w:t>本项目按采购人服务工作内容及要求，采取包工包料</w:t>
      </w:r>
      <w:r>
        <w:rPr>
          <w:rFonts w:hint="eastAsia" w:asciiTheme="minorEastAsia" w:hAnsiTheme="minorEastAsia" w:eastAsiaTheme="minorEastAsia" w:cstheme="minorEastAsia"/>
          <w:sz w:val="24"/>
          <w:szCs w:val="24"/>
          <w:highlight w:val="none"/>
          <w:lang w:eastAsia="zh-CN" w:bidi="ar"/>
        </w:rPr>
        <w:t>包质量</w:t>
      </w:r>
      <w:r>
        <w:rPr>
          <w:rFonts w:hint="eastAsia" w:asciiTheme="minorEastAsia" w:hAnsiTheme="minorEastAsia" w:eastAsiaTheme="minorEastAsia" w:cstheme="minorEastAsia"/>
          <w:sz w:val="24"/>
          <w:szCs w:val="24"/>
          <w:highlight w:val="none"/>
          <w:lang w:bidi="ar"/>
        </w:rPr>
        <w:t>的</w:t>
      </w:r>
      <w:r>
        <w:rPr>
          <w:rFonts w:hint="eastAsia" w:asciiTheme="minorEastAsia" w:hAnsiTheme="minorEastAsia" w:eastAsiaTheme="minorEastAsia" w:cstheme="minorEastAsia"/>
          <w:sz w:val="24"/>
          <w:szCs w:val="24"/>
          <w:highlight w:val="none"/>
          <w:lang w:eastAsia="zh-CN" w:bidi="ar"/>
        </w:rPr>
        <w:t>总价</w:t>
      </w:r>
      <w:r>
        <w:rPr>
          <w:rFonts w:hint="eastAsia" w:asciiTheme="minorEastAsia" w:hAnsiTheme="minorEastAsia" w:eastAsiaTheme="minorEastAsia" w:cstheme="minorEastAsia"/>
          <w:sz w:val="24"/>
          <w:szCs w:val="24"/>
          <w:highlight w:val="none"/>
          <w:lang w:bidi="ar"/>
        </w:rPr>
        <w:t>包干形式承包任务。</w:t>
      </w:r>
      <w:r>
        <w:rPr>
          <w:rFonts w:hint="eastAsia" w:asciiTheme="minorEastAsia" w:hAnsiTheme="minorEastAsia" w:eastAsiaTheme="minorEastAsia" w:cstheme="minorEastAsia"/>
          <w:kern w:val="2"/>
          <w:sz w:val="24"/>
          <w:szCs w:val="24"/>
          <w:highlight w:val="none"/>
          <w:lang w:val="en-US" w:eastAsia="zh-CN" w:bidi="ar"/>
        </w:rPr>
        <w:t>投标人的投标报价应包含项目管理服务期限内的各项管理费、工具机械费、作业车辆燃油费用、人员工资、加班费、突发性作业费、劳保费、福利费、保险费、风险金、税费、不可预见费和利润等全部费用，采购人不再额外支付调整。</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Theme="minorEastAsia" w:hAnsiTheme="minorEastAsia" w:eastAsiaTheme="minorEastAsia" w:cstheme="minorEastAsia"/>
          <w:b/>
          <w:bCs w:val="0"/>
          <w:sz w:val="24"/>
          <w:szCs w:val="24"/>
          <w:highlight w:val="none"/>
          <w:lang w:val="en-US"/>
        </w:rPr>
      </w:pPr>
      <w:r>
        <w:rPr>
          <w:rFonts w:hint="eastAsia" w:asciiTheme="minorEastAsia" w:hAnsiTheme="minorEastAsia" w:eastAsiaTheme="minorEastAsia" w:cstheme="minorEastAsia"/>
          <w:b/>
          <w:bCs w:val="0"/>
          <w:kern w:val="2"/>
          <w:sz w:val="24"/>
          <w:szCs w:val="24"/>
          <w:highlight w:val="none"/>
          <w:lang w:val="en-US" w:eastAsia="zh-CN" w:bidi="ar"/>
        </w:rPr>
        <w:t>二、服务要求</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Theme="minorEastAsia" w:hAnsiTheme="minorEastAsia" w:eastAsiaTheme="minorEastAsia" w:cstheme="minorEastAsia"/>
          <w:b/>
          <w:bCs w:val="0"/>
          <w:sz w:val="24"/>
          <w:szCs w:val="24"/>
          <w:highlight w:val="none"/>
          <w:lang w:val="en-US"/>
        </w:rPr>
      </w:pPr>
      <w:r>
        <w:rPr>
          <w:rFonts w:hint="eastAsia" w:asciiTheme="minorEastAsia" w:hAnsiTheme="minorEastAsia" w:eastAsiaTheme="minorEastAsia" w:cstheme="minorEastAsia"/>
          <w:b/>
          <w:bCs w:val="0"/>
          <w:kern w:val="2"/>
          <w:sz w:val="24"/>
          <w:szCs w:val="24"/>
          <w:highlight w:val="none"/>
          <w:lang w:val="en-US" w:eastAsia="zh-CN" w:bidi="ar"/>
        </w:rPr>
        <w:t>（一）总体服务内容</w:t>
      </w:r>
    </w:p>
    <w:p>
      <w:pPr>
        <w:pStyle w:val="6"/>
        <w:keepNext w:val="0"/>
        <w:keepLines w:val="0"/>
        <w:widowControl/>
        <w:suppressLineNumbers w:val="0"/>
        <w:spacing w:before="0" w:beforeAutospacing="0" w:after="0" w:afterAutospacing="0" w:line="360" w:lineRule="auto"/>
        <w:ind w:left="0" w:right="0" w:firstLine="480" w:firstLineChars="200"/>
        <w:jc w:val="left"/>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kern w:val="0"/>
          <w:sz w:val="24"/>
          <w:szCs w:val="24"/>
          <w:highlight w:val="none"/>
          <w:lang w:val="en-US" w:eastAsia="zh-CN" w:bidi="ar"/>
        </w:rPr>
        <w:t>1、公园安全巡查工作内容包括但不限于：</w:t>
      </w:r>
      <w:r>
        <w:rPr>
          <w:rFonts w:hint="eastAsia" w:asciiTheme="minorEastAsia" w:hAnsiTheme="minorEastAsia" w:eastAsiaTheme="minorEastAsia" w:cstheme="minorEastAsia"/>
          <w:color w:val="000000"/>
          <w:kern w:val="0"/>
          <w:sz w:val="24"/>
          <w:szCs w:val="24"/>
          <w:highlight w:val="none"/>
          <w:lang w:val="en-US" w:eastAsia="zh-CN" w:bidi="ar"/>
        </w:rPr>
        <w:t>负责各公园防火、防盗、防爆炸、防抢、防治安灾害事故等安全防范工作，确保全年无责任事故和责任案件发生。具体如下：公园红线范围内绿地、乔灌木、建筑物、园路、公厕、园灯、喷泉、游乐设施、其他水电设施及公共设施（包括宣传栏、护栏、石台、石凳、果皮箱、指示/警示标志牌类等）的保护；维护公园内治安，维持广场、园内园路秩序及停车场车辆停放；公园红线范围内及现场办公室内一切消防设备的日常管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2、白蚁防治工作内容包括但不限于：定期对全园内乔灌木、凉亭、木栈道等建筑物开展白蚁防治工作。</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3、绿化养护工作内容包括但不限于</w:t>
      </w:r>
      <w:r>
        <w:rPr>
          <w:rFonts w:hint="eastAsia" w:asciiTheme="minorEastAsia" w:hAnsiTheme="minorEastAsia" w:eastAsiaTheme="minorEastAsia" w:cstheme="minorEastAsia"/>
          <w:kern w:val="2"/>
          <w:sz w:val="28"/>
          <w:szCs w:val="28"/>
          <w:highlight w:val="none"/>
          <w:lang w:val="en-US" w:eastAsia="zh-CN" w:bidi="ar"/>
        </w:rPr>
        <w:t>：</w:t>
      </w:r>
      <w:r>
        <w:rPr>
          <w:rFonts w:hint="eastAsia" w:asciiTheme="minorEastAsia" w:hAnsiTheme="minorEastAsia" w:eastAsiaTheme="minorEastAsia" w:cstheme="minorEastAsia"/>
          <w:kern w:val="2"/>
          <w:sz w:val="24"/>
          <w:szCs w:val="24"/>
          <w:highlight w:val="none"/>
          <w:lang w:val="en-US" w:eastAsia="zh-CN" w:bidi="ar"/>
        </w:rPr>
        <w:t>公园红线范围内改造过的绿化进行浇灌、中耕松土、施肥、修剪、造型、除杂草、病虫害防治、裸露补植、时花老化更换、树木涂白、树木扶正、寄生物和枯枝处理、绿地清洁及绿化垃圾清运，自然灾害应急处理、检查活动应急处理，负责清除影响公园景观属于未改造山体部分的林木及采购人安排的临时性、突击性任务等。</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4、其他工作内容由采购人根据实际情况安排相关工作。</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Theme="minorEastAsia" w:hAnsiTheme="minorEastAsia" w:eastAsiaTheme="minorEastAsia" w:cstheme="minorEastAsia"/>
          <w:b/>
          <w:bCs w:val="0"/>
          <w:sz w:val="24"/>
          <w:szCs w:val="24"/>
          <w:highlight w:val="none"/>
          <w:lang w:val="en-US"/>
        </w:rPr>
      </w:pPr>
      <w:r>
        <w:rPr>
          <w:rFonts w:hint="eastAsia" w:asciiTheme="minorEastAsia" w:hAnsiTheme="minorEastAsia" w:eastAsiaTheme="minorEastAsia" w:cstheme="minorEastAsia"/>
          <w:b/>
          <w:bCs w:val="0"/>
          <w:kern w:val="2"/>
          <w:sz w:val="24"/>
          <w:szCs w:val="24"/>
          <w:highlight w:val="none"/>
          <w:lang w:val="en-US" w:eastAsia="zh-CN" w:bidi="ar"/>
        </w:rPr>
        <w:t>（二）总体要求</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采购人对岗位设置、人员选用与日常管理具有直接指挥权和决定权。中标供应商的工作人员须遵守采购人相关规章制度和管理规定，如有违反或损害采购人利益的，采购人有拒绝中标供应商违规工作人员在采购人处工作的权利。</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2、中标供应商为采购人量身定做综合维护管理服务方案，提供专业、精准、细致的服务。合理调配人员，协调各岗位的分工协作，责任到人。建立项目档案，定期巡检与回访，记录反馈信息，并设立24小时值班服务与投诉电话。</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3、中标供应商对所录用人员要严格审查，保证录用人员健康状况良好、无精神病史、持有相应职位的资格上岗证。公园安全巡查人员须素质良好，退役军人为优。</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4、中标供应商必须严格按照国家、广东省、广州市有关的劳动法规和保险条例，为员工提供完善的劳动权益保障。</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5、中标供应商须认真负责，项目驻场主管应实时跟进派驻于公园人员的工作情况，给予指导，学历须达到高中毕业或以上水平，具体负责公园安全巡查服务、绿化养护服务、白蚁防治等管理工作。</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6、中标供应商必须采取切实有效措施保持服务队伍的稳定，严格控制非违纪人员轮换岗比例。驻场主管更换，应提前一个月以书面形式通知采购人，其他队员更换要提前一周告知采购人。确保服务质量不因人员变动而受影响。</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7、中标供应商必须承诺，合同期限内轮换岗人数不得超过合同核定数量的40%。</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8、中标供应商工作人员如在服务过程中不听取采购人合理意见的，中标供应商需在采购人意见提出2个工作日内作出整改；中标供应商派驻采购单位的工作人员不尽职守的，中标供应商须在接到采购人书面通知后2天内更换人员。</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9、中标供应商各类工作人员按岗位要求着装统一，言行规范（会使用普通话），注重仪容仪表，公众形象好。</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10、中标供应商须负责各工作人员有关的制服、警具、劳动工具等。采购人和服务单位不提供食宿。</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11、中标供应商全面负责跟进项目的日常管理事务，每天应及时做好工作记录（设施完整性及安全检查、人员出勤、工作完成情况、存在问题等），每月28日前把记录提交采购人；制订年度、季度和月度工作计划并组织实施，业务上接受采购人的指导和监督，定期提交采购人备案；负责检查、监督各项制度的执行情况，每个季度要有工作总结，内容为履约情况、主要业绩及差距，并向采购人提出合理的建议等，重大情况须及时报告。</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12、中标供应商须严格落实管理措施，做好工作人员的监管和督查，奖勤罚懒，确保工作质量。严格员工队伍纪律管理，奖优罚劣；承担员工违规违纪的连带责任；实行人性化管理，关心员工疾苦，掌握员工的思想动态，充分调动员工积极性，努力保证队伍稳定。</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13、中标供应商工作人员队伍应保持相对稳定，如有变动需提前通知采购人，并做好交接工作。所有工作人员必须遵守采购人的管理规定和各项规章制度，若出现违法违纪现象或管理不力，采购人有权要求更换人员，中标供应商需一周内作出换人处理，否则按缺员处理，并根据情节轻重扣罚服务费。对违反劳动纪律或工作责任心不强、工作效率低的人员，采购人有权建议中标供应商更换人员。在工作问题上，项目负责人不得以任何理由对采购人的工作安排不表态、不落实和拖延时间，以上问题发生三次，采购人有权要求更换项目负责人。</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 xml:space="preserve">14、中标供应商与派驻本项目的服务人员签订的用工合同需送采购人备案。 </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15、在处理特殊事件和紧急、突发事故时，采购人对中标供应商派出的驻场人员有直接指挥权。</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16、如因用工引起的劳动纠纷问题或出现伤、病及意外死亡情况时，由中标供应商负责调处解决并承担相应的法律责任；若采购人因中标供应商派驻人员用工引起的劳动纠纷而被追究责任的，中标供应商应赔偿采购人所遭受的一切损失并承担违约责任。</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Theme="minorEastAsia" w:hAnsiTheme="minorEastAsia" w:eastAsiaTheme="minorEastAsia" w:cstheme="minorEastAsia"/>
          <w:b/>
          <w:bCs w:val="0"/>
          <w:color w:val="auto"/>
          <w:sz w:val="24"/>
          <w:szCs w:val="24"/>
          <w:highlight w:val="none"/>
          <w:lang w:val="en-US"/>
        </w:rPr>
      </w:pPr>
      <w:r>
        <w:rPr>
          <w:rFonts w:hint="eastAsia" w:asciiTheme="minorEastAsia" w:hAnsiTheme="minorEastAsia" w:eastAsiaTheme="minorEastAsia" w:cstheme="minorEastAsia"/>
          <w:b/>
          <w:bCs w:val="0"/>
          <w:color w:val="auto"/>
          <w:kern w:val="2"/>
          <w:sz w:val="24"/>
          <w:szCs w:val="24"/>
          <w:highlight w:val="none"/>
          <w:lang w:val="en-US" w:eastAsia="zh-CN" w:bidi="ar"/>
        </w:rPr>
        <w:t>（三）项目负责人及驻场主管要求</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1、项目负责人要求：</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项目负责人：要求有3年以上丰富的公园管理经验，具有园林绿化相关专业高级（或以上）职称，责任心强并具有良好的沟通协调能力，对公园内的管理工作经常做到全面检查，并指导、督促在岗人员按要求进行维护，发现问题要立即组织人员及时处理，并按采购人要求参加例会。项目负责人的电话应24小时保持畅通，若更换则须及时通知采购人，以方便沟通联系。驻场负责公园现场服务的全面工作，落实公园安排的各项工作，驻场开展公园现场服务整体运作统筹，对派驻员工的工作进行指导、培训、考核及评定等，审定报送给采购人的文件材料，办理支付手续，收集、整理管理过程产生的全部图纸、档案资料并根据采购人要求进行移交。</w:t>
      </w:r>
    </w:p>
    <w:p>
      <w:pPr>
        <w:keepNext w:val="0"/>
        <w:keepLines w:val="0"/>
        <w:widowControl w:val="0"/>
        <w:suppressLineNumbers w:val="0"/>
        <w:spacing w:before="0" w:beforeAutospacing="0" w:after="0" w:afterAutospacing="0" w:line="360" w:lineRule="auto"/>
        <w:ind w:left="0" w:right="0" w:firstLine="360" w:firstLineChars="150"/>
        <w:jc w:val="both"/>
        <w:rPr>
          <w:rFonts w:hint="eastAsia" w:asciiTheme="minorEastAsia" w:hAnsiTheme="minorEastAsia" w:eastAsiaTheme="minorEastAsia" w:cstheme="minorEastAsia"/>
          <w:color w:val="0070C0"/>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（2）每月28日向采购人汇报本月工作情况及上交相关检查资料、服务子项完整的工作台帐包括日常记录等进行存档。</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2、驻场主管要求：</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项目驻场主管：现场驻点工作，要求有3年以上较丰富的现场管理经验，工作责任心强，具有良好的沟通协调能力，熟悉公园管理模式，对公园内绿化养护、白蚁防治、公园安全巡查等工作做到经常全面检查，指导、督促在岗人员按要求做好本职工作，发现问题要立即组织人员及时处理，积极与公园管理人员沟通工作经验，参与采购人组织的公园管理例会，积极完成上级下达的工作任务。</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（2）以身作则、吃苦在先、讲求奉献；组织实施公园安全巡查服务整体方案。</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（3）负责安排巡查员对绿化、白蚁防治等日常组织管理和协调工作。</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4）落实公园相关管理制度（详见公园的相关章程、管理制度及评价表），督促检查在岗人员履行岗位职责情况，纠正队员违规违纪行为；坚持每天点评，不流于形式，形成良好的工作风气；处理各岗位的突发事件，重大情况及时报告；组织指挥员工做好公园应急突发事件和重大活动秩序的保障工作。</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Theme="minorEastAsia" w:hAnsiTheme="minorEastAsia" w:eastAsiaTheme="minorEastAsia" w:cstheme="minorEastAsia"/>
          <w:b/>
          <w:bCs w:val="0"/>
          <w:sz w:val="24"/>
          <w:szCs w:val="24"/>
          <w:highlight w:val="none"/>
          <w:lang w:val="en-US"/>
        </w:rPr>
      </w:pPr>
      <w:r>
        <w:rPr>
          <w:rFonts w:hint="eastAsia" w:asciiTheme="minorEastAsia" w:hAnsiTheme="minorEastAsia" w:eastAsiaTheme="minorEastAsia" w:cstheme="minorEastAsia"/>
          <w:b/>
          <w:bCs w:val="0"/>
          <w:kern w:val="2"/>
          <w:sz w:val="24"/>
          <w:szCs w:val="24"/>
          <w:highlight w:val="none"/>
          <w:lang w:val="en-US" w:eastAsia="zh-CN" w:bidi="ar"/>
        </w:rPr>
        <w:t>（四）驻场人员要求</w:t>
      </w:r>
    </w:p>
    <w:p>
      <w:pPr>
        <w:keepNext w:val="0"/>
        <w:keepLines w:val="0"/>
        <w:widowControl w:val="0"/>
        <w:suppressLineNumbers w:val="0"/>
        <w:spacing w:before="0" w:beforeAutospacing="0" w:after="0" w:afterAutospacing="0" w:line="440" w:lineRule="exact"/>
        <w:ind w:left="0" w:right="0" w:firstLine="480" w:firstLineChars="200"/>
        <w:jc w:val="left"/>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1、绿化养护作业人员：全部养护作业人员55周岁以下，须具备熟练掌握各种园林器械的使用和各类剪型植物修剪的熟练工，其中包含中级绿化工1名。</w:t>
      </w:r>
    </w:p>
    <w:p>
      <w:pPr>
        <w:keepNext w:val="0"/>
        <w:keepLines w:val="0"/>
        <w:widowControl w:val="0"/>
        <w:suppressLineNumbers w:val="0"/>
        <w:spacing w:before="0" w:beforeAutospacing="0" w:after="0" w:afterAutospacing="0" w:line="440" w:lineRule="exact"/>
        <w:ind w:left="0" w:right="0" w:firstLine="480" w:firstLineChars="200"/>
        <w:jc w:val="left"/>
        <w:rPr>
          <w:rFonts w:hint="eastAsia" w:asciiTheme="minorEastAsia" w:hAnsiTheme="minorEastAsia" w:eastAsiaTheme="minorEastAsia" w:cstheme="minorEastAsia"/>
          <w:kern w:val="2"/>
          <w:sz w:val="24"/>
          <w:szCs w:val="24"/>
          <w:highlight w:val="none"/>
          <w:lang w:val="en-US" w:eastAsia="zh-CN" w:bidi="ar"/>
        </w:rPr>
      </w:pPr>
      <w:r>
        <w:rPr>
          <w:rFonts w:hint="eastAsia" w:asciiTheme="minorEastAsia" w:hAnsiTheme="minorEastAsia" w:eastAsiaTheme="minorEastAsia" w:cstheme="minorEastAsia"/>
          <w:kern w:val="2"/>
          <w:sz w:val="24"/>
          <w:szCs w:val="24"/>
          <w:highlight w:val="none"/>
          <w:lang w:val="en-US" w:eastAsia="zh-CN" w:bidi="ar"/>
        </w:rPr>
        <w:t>2、安全巡查人员：政治思想觉悟高，爱岗敬业。五官端正，形象好，身高：男不低于165CM；女不低于158CM。年满18周岁以上，55周岁以下的中国公民，有良好的语言表达能力，体检合格。遵纪守法，无违反计生政策规定。安全巡查队长需有相关安保服务管理工作经验，有较强的组织能力、协调沟通能力，可根据项目特殊岗位需求，必要时增加具体要求。</w:t>
      </w:r>
    </w:p>
    <w:p>
      <w:pPr>
        <w:keepNext w:val="0"/>
        <w:keepLines w:val="0"/>
        <w:widowControl w:val="0"/>
        <w:suppressLineNumbers w:val="0"/>
        <w:spacing w:before="0" w:beforeAutospacing="0" w:after="0" w:afterAutospacing="0" w:line="440" w:lineRule="exact"/>
        <w:ind w:left="0" w:right="0" w:firstLine="480" w:firstLineChars="200"/>
        <w:jc w:val="both"/>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3、综合维护人员：中标供应商工作人员必须具有较好的服务工作经验，有专职的技术管理人员；有一定数量的熟手技工和相应的专业技术人员，能较好地领会管理意图，服从采购人安排以确保全园的环境卫生质量。</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Theme="minorEastAsia" w:hAnsiTheme="minorEastAsia" w:eastAsiaTheme="minorEastAsia" w:cstheme="minorEastAsia"/>
          <w:b/>
          <w:bCs w:val="0"/>
          <w:sz w:val="24"/>
          <w:szCs w:val="24"/>
          <w:highlight w:val="none"/>
          <w:lang w:val="en-US"/>
        </w:rPr>
      </w:pPr>
      <w:r>
        <w:rPr>
          <w:rFonts w:hint="eastAsia" w:asciiTheme="minorEastAsia" w:hAnsiTheme="minorEastAsia" w:eastAsiaTheme="minorEastAsia" w:cstheme="minorEastAsia"/>
          <w:b/>
          <w:bCs w:val="0"/>
          <w:kern w:val="2"/>
          <w:sz w:val="24"/>
          <w:szCs w:val="24"/>
          <w:highlight w:val="none"/>
          <w:lang w:val="en-US" w:eastAsia="zh-CN" w:bidi="ar"/>
        </w:rPr>
        <w:t>（五）人员配置要求</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b w:val="0"/>
          <w:bCs/>
          <w:color w:val="auto"/>
          <w:sz w:val="24"/>
          <w:highlight w:val="none"/>
        </w:rPr>
        <w:t>★</w:t>
      </w:r>
      <w:r>
        <w:rPr>
          <w:rFonts w:hint="eastAsia" w:asciiTheme="minorEastAsia" w:hAnsiTheme="minorEastAsia" w:eastAsiaTheme="minorEastAsia" w:cstheme="minorEastAsia"/>
          <w:kern w:val="2"/>
          <w:sz w:val="24"/>
          <w:szCs w:val="24"/>
          <w:highlight w:val="none"/>
          <w:lang w:val="en-US" w:eastAsia="zh-CN" w:bidi="ar"/>
        </w:rPr>
        <w:t>服务人员具体岗位设置如下（</w:t>
      </w:r>
      <w:r>
        <w:rPr>
          <w:rFonts w:hint="eastAsia" w:asciiTheme="minorEastAsia" w:hAnsiTheme="minorEastAsia" w:eastAsiaTheme="minorEastAsia" w:cstheme="minorEastAsia"/>
          <w:b w:val="0"/>
          <w:bCs/>
          <w:kern w:val="2"/>
          <w:sz w:val="24"/>
          <w:szCs w:val="24"/>
          <w:highlight w:val="none"/>
          <w:lang w:val="en-US" w:eastAsia="zh-CN" w:bidi="ar"/>
        </w:rPr>
        <w:t>投标人对此应在投标文件中做出承诺</w:t>
      </w:r>
      <w:r>
        <w:rPr>
          <w:rFonts w:hint="eastAsia" w:asciiTheme="minorEastAsia" w:hAnsiTheme="minorEastAsia" w:eastAsiaTheme="minorEastAsia" w:cstheme="minorEastAsia"/>
          <w:kern w:val="2"/>
          <w:sz w:val="24"/>
          <w:szCs w:val="24"/>
          <w:highlight w:val="none"/>
          <w:lang w:val="en-US" w:eastAsia="zh-CN" w:bidi="ar"/>
        </w:rPr>
        <w:t>）：</w:t>
      </w:r>
    </w:p>
    <w:tbl>
      <w:tblPr>
        <w:tblStyle w:val="7"/>
        <w:tblW w:w="94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1235"/>
        <w:gridCol w:w="1241"/>
        <w:gridCol w:w="1180"/>
        <w:gridCol w:w="1100"/>
        <w:gridCol w:w="1125"/>
        <w:gridCol w:w="2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355"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widowControl/>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b/>
                <w:bCs w:val="0"/>
                <w:sz w:val="24"/>
                <w:szCs w:val="24"/>
                <w:highlight w:val="none"/>
                <w:lang w:val="en-US"/>
              </w:rPr>
            </w:pPr>
            <w:r>
              <w:rPr>
                <w:rFonts w:hint="eastAsia" w:asciiTheme="minorEastAsia" w:hAnsiTheme="minorEastAsia" w:eastAsiaTheme="minorEastAsia" w:cstheme="minorEastAsia"/>
                <w:b/>
                <w:bCs w:val="0"/>
                <w:kern w:val="2"/>
                <w:sz w:val="24"/>
                <w:szCs w:val="24"/>
                <w:highlight w:val="none"/>
                <w:lang w:val="en-US" w:eastAsia="zh-CN" w:bidi="ar"/>
              </w:rPr>
              <w:t>公园名称</w:t>
            </w:r>
          </w:p>
        </w:tc>
        <w:tc>
          <w:tcPr>
            <w:tcW w:w="1235" w:type="dxa"/>
            <w:tcBorders>
              <w:top w:val="single" w:color="auto" w:sz="4" w:space="0"/>
              <w:left w:val="nil"/>
              <w:bottom w:val="single" w:color="auto" w:sz="4" w:space="0"/>
              <w:right w:val="single" w:color="auto" w:sz="4" w:space="0"/>
            </w:tcBorders>
            <w:noWrap w:val="0"/>
            <w:vAlign w:val="center"/>
          </w:tcPr>
          <w:p>
            <w:pPr>
              <w:pStyle w:val="6"/>
              <w:keepNext w:val="0"/>
              <w:keepLines w:val="0"/>
              <w:widowControl/>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b/>
                <w:bCs w:val="0"/>
                <w:sz w:val="24"/>
                <w:szCs w:val="24"/>
                <w:highlight w:val="none"/>
                <w:lang w:val="en-US"/>
              </w:rPr>
            </w:pPr>
            <w:r>
              <w:rPr>
                <w:rFonts w:hint="eastAsia" w:asciiTheme="minorEastAsia" w:hAnsiTheme="minorEastAsia" w:eastAsiaTheme="minorEastAsia" w:cstheme="minorEastAsia"/>
                <w:b/>
                <w:bCs w:val="0"/>
                <w:kern w:val="2"/>
                <w:sz w:val="24"/>
                <w:szCs w:val="24"/>
                <w:highlight w:val="none"/>
                <w:lang w:val="en-US" w:eastAsia="zh-CN" w:bidi="ar"/>
              </w:rPr>
              <w:t>项目负责人（名）</w:t>
            </w:r>
          </w:p>
        </w:tc>
        <w:tc>
          <w:tcPr>
            <w:tcW w:w="1241" w:type="dxa"/>
            <w:tcBorders>
              <w:top w:val="single" w:color="auto" w:sz="4" w:space="0"/>
              <w:left w:val="nil"/>
              <w:bottom w:val="single" w:color="auto" w:sz="4" w:space="0"/>
              <w:right w:val="single" w:color="auto" w:sz="4" w:space="0"/>
            </w:tcBorders>
            <w:noWrap w:val="0"/>
            <w:vAlign w:val="center"/>
          </w:tcPr>
          <w:p>
            <w:pPr>
              <w:pStyle w:val="6"/>
              <w:keepNext w:val="0"/>
              <w:keepLines w:val="0"/>
              <w:widowControl/>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b/>
                <w:bCs w:val="0"/>
                <w:sz w:val="24"/>
                <w:szCs w:val="24"/>
                <w:highlight w:val="none"/>
                <w:lang w:val="en-US"/>
              </w:rPr>
            </w:pPr>
            <w:r>
              <w:rPr>
                <w:rFonts w:hint="eastAsia" w:asciiTheme="minorEastAsia" w:hAnsiTheme="minorEastAsia" w:eastAsiaTheme="minorEastAsia" w:cstheme="minorEastAsia"/>
                <w:b/>
                <w:bCs w:val="0"/>
                <w:kern w:val="2"/>
                <w:sz w:val="24"/>
                <w:szCs w:val="24"/>
                <w:highlight w:val="none"/>
                <w:lang w:val="en-US" w:eastAsia="zh-CN" w:bidi="ar"/>
              </w:rPr>
              <w:t>驻场主管（名）</w:t>
            </w:r>
          </w:p>
        </w:tc>
        <w:tc>
          <w:tcPr>
            <w:tcW w:w="1180" w:type="dxa"/>
            <w:tcBorders>
              <w:top w:val="single" w:color="auto" w:sz="4" w:space="0"/>
              <w:left w:val="nil"/>
              <w:bottom w:val="single" w:color="auto" w:sz="4" w:space="0"/>
              <w:right w:val="single" w:color="auto" w:sz="4" w:space="0"/>
            </w:tcBorders>
            <w:noWrap w:val="0"/>
            <w:vAlign w:val="center"/>
          </w:tcPr>
          <w:p>
            <w:pPr>
              <w:pStyle w:val="6"/>
              <w:keepNext w:val="0"/>
              <w:keepLines w:val="0"/>
              <w:widowControl/>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color w:val="FF0000"/>
                <w:sz w:val="24"/>
                <w:szCs w:val="24"/>
                <w:highlight w:val="none"/>
                <w:lang w:val="en-US"/>
              </w:rPr>
            </w:pPr>
            <w:r>
              <w:rPr>
                <w:rFonts w:hint="eastAsia" w:asciiTheme="minorEastAsia" w:hAnsiTheme="minorEastAsia" w:eastAsiaTheme="minorEastAsia" w:cstheme="minorEastAsia"/>
                <w:b/>
                <w:bCs w:val="0"/>
                <w:kern w:val="2"/>
                <w:sz w:val="24"/>
                <w:szCs w:val="24"/>
                <w:highlight w:val="none"/>
                <w:lang w:val="en-US" w:eastAsia="zh-CN" w:bidi="ar"/>
              </w:rPr>
              <w:t>安全巡查人员（名）</w:t>
            </w:r>
          </w:p>
        </w:tc>
        <w:tc>
          <w:tcPr>
            <w:tcW w:w="1100" w:type="dxa"/>
            <w:tcBorders>
              <w:top w:val="single" w:color="auto" w:sz="4" w:space="0"/>
              <w:left w:val="nil"/>
              <w:bottom w:val="single" w:color="auto" w:sz="4" w:space="0"/>
              <w:right w:val="single" w:color="auto" w:sz="4" w:space="0"/>
            </w:tcBorders>
            <w:noWrap w:val="0"/>
            <w:vAlign w:val="center"/>
          </w:tcPr>
          <w:p>
            <w:pPr>
              <w:pStyle w:val="6"/>
              <w:keepNext w:val="0"/>
              <w:keepLines w:val="0"/>
              <w:widowControl/>
              <w:suppressLineNumbers w:val="0"/>
              <w:autoSpaceDE w:val="0"/>
              <w:autoSpaceDN w:val="0"/>
              <w:adjustRightInd w:val="0"/>
              <w:spacing w:before="0" w:beforeAutospacing="0" w:after="0" w:afterAutospacing="0"/>
              <w:ind w:left="0" w:right="0"/>
              <w:jc w:val="both"/>
              <w:rPr>
                <w:rFonts w:hint="eastAsia" w:asciiTheme="minorEastAsia" w:hAnsiTheme="minorEastAsia" w:eastAsiaTheme="minorEastAsia" w:cstheme="minorEastAsia"/>
                <w:b/>
                <w:bCs w:val="0"/>
                <w:sz w:val="24"/>
                <w:szCs w:val="24"/>
                <w:highlight w:val="none"/>
                <w:lang w:val="en-US"/>
              </w:rPr>
            </w:pPr>
            <w:r>
              <w:rPr>
                <w:rFonts w:hint="eastAsia" w:asciiTheme="minorEastAsia" w:hAnsiTheme="minorEastAsia" w:eastAsiaTheme="minorEastAsia" w:cstheme="minorEastAsia"/>
                <w:b/>
                <w:bCs w:val="0"/>
                <w:kern w:val="2"/>
                <w:sz w:val="24"/>
                <w:szCs w:val="24"/>
                <w:highlight w:val="none"/>
                <w:lang w:val="en-US" w:eastAsia="zh-CN" w:bidi="ar"/>
              </w:rPr>
              <w:t>绿化人员（名）</w:t>
            </w:r>
          </w:p>
        </w:tc>
        <w:tc>
          <w:tcPr>
            <w:tcW w:w="1125" w:type="dxa"/>
            <w:tcBorders>
              <w:top w:val="single" w:color="auto" w:sz="4" w:space="0"/>
              <w:left w:val="nil"/>
              <w:bottom w:val="single" w:color="auto" w:sz="4" w:space="0"/>
              <w:right w:val="single" w:color="auto" w:sz="4" w:space="0"/>
            </w:tcBorders>
            <w:noWrap w:val="0"/>
            <w:vAlign w:val="center"/>
          </w:tcPr>
          <w:p>
            <w:pPr>
              <w:pStyle w:val="6"/>
              <w:keepNext w:val="0"/>
              <w:keepLines w:val="0"/>
              <w:widowControl/>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b/>
                <w:bCs w:val="0"/>
                <w:sz w:val="24"/>
                <w:szCs w:val="24"/>
                <w:highlight w:val="none"/>
                <w:lang w:val="en-US"/>
              </w:rPr>
            </w:pPr>
            <w:r>
              <w:rPr>
                <w:rFonts w:hint="eastAsia" w:asciiTheme="minorEastAsia" w:hAnsiTheme="minorEastAsia" w:eastAsiaTheme="minorEastAsia" w:cstheme="minorEastAsia"/>
                <w:b/>
                <w:color w:val="auto"/>
                <w:kern w:val="2"/>
                <w:highlight w:val="none"/>
                <w:lang w:eastAsia="zh-CN" w:bidi="ar"/>
              </w:rPr>
              <w:t>综合维护人员</w:t>
            </w:r>
            <w:r>
              <w:rPr>
                <w:rFonts w:hint="eastAsia" w:asciiTheme="minorEastAsia" w:hAnsiTheme="minorEastAsia" w:eastAsiaTheme="minorEastAsia" w:cstheme="minorEastAsia"/>
                <w:b/>
                <w:bCs w:val="0"/>
                <w:kern w:val="2"/>
                <w:sz w:val="24"/>
                <w:szCs w:val="24"/>
                <w:highlight w:val="none"/>
                <w:lang w:val="en-US" w:eastAsia="zh-CN" w:bidi="ar"/>
              </w:rPr>
              <w:t>（名）</w:t>
            </w:r>
          </w:p>
        </w:tc>
        <w:tc>
          <w:tcPr>
            <w:tcW w:w="2230" w:type="dxa"/>
            <w:tcBorders>
              <w:top w:val="single" w:color="auto" w:sz="4" w:space="0"/>
              <w:left w:val="nil"/>
              <w:bottom w:val="single" w:color="auto" w:sz="4" w:space="0"/>
              <w:right w:val="single" w:color="auto" w:sz="4" w:space="0"/>
            </w:tcBorders>
            <w:noWrap w:val="0"/>
            <w:vAlign w:val="center"/>
          </w:tcPr>
          <w:p>
            <w:pPr>
              <w:pStyle w:val="6"/>
              <w:keepNext w:val="0"/>
              <w:keepLines w:val="0"/>
              <w:widowControl/>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b/>
                <w:bCs w:val="0"/>
                <w:sz w:val="24"/>
                <w:szCs w:val="24"/>
                <w:highlight w:val="none"/>
                <w:lang w:val="en-US"/>
              </w:rPr>
            </w:pPr>
            <w:r>
              <w:rPr>
                <w:rFonts w:hint="eastAsia" w:asciiTheme="minorEastAsia" w:hAnsiTheme="minorEastAsia" w:eastAsiaTheme="minorEastAsia" w:cstheme="minorEastAsia"/>
                <w:b/>
                <w:bCs w:val="0"/>
                <w:kern w:val="2"/>
                <w:sz w:val="24"/>
                <w:szCs w:val="24"/>
                <w:highlight w:val="none"/>
                <w:lang w:val="en-US" w:eastAsia="zh-CN" w:bidi="ar"/>
              </w:rPr>
              <w:t>合计（名）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355"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widowControl/>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sz w:val="24"/>
                <w:highlight w:val="none"/>
              </w:rPr>
              <w:t>黄埔公园</w:t>
            </w:r>
          </w:p>
        </w:tc>
        <w:tc>
          <w:tcPr>
            <w:tcW w:w="1235" w:type="dxa"/>
            <w:vMerge w:val="restart"/>
            <w:tcBorders>
              <w:top w:val="single" w:color="auto" w:sz="4" w:space="0"/>
              <w:left w:val="nil"/>
              <w:right w:val="single" w:color="auto" w:sz="4" w:space="0"/>
            </w:tcBorders>
            <w:noWrap w:val="0"/>
            <w:vAlign w:val="center"/>
          </w:tcPr>
          <w:p>
            <w:pPr>
              <w:pStyle w:val="6"/>
              <w:keepNext w:val="0"/>
              <w:keepLines w:val="0"/>
              <w:widowControl/>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w:t>
            </w:r>
          </w:p>
        </w:tc>
        <w:tc>
          <w:tcPr>
            <w:tcW w:w="1241" w:type="dxa"/>
            <w:vMerge w:val="restart"/>
            <w:tcBorders>
              <w:top w:val="single" w:color="auto" w:sz="4" w:space="0"/>
              <w:left w:val="nil"/>
              <w:right w:val="single" w:color="auto" w:sz="4" w:space="0"/>
            </w:tcBorders>
            <w:noWrap w:val="0"/>
            <w:vAlign w:val="center"/>
          </w:tcPr>
          <w:p>
            <w:pPr>
              <w:pStyle w:val="6"/>
              <w:keepNext w:val="0"/>
              <w:keepLines w:val="0"/>
              <w:widowControl/>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w:t>
            </w:r>
          </w:p>
        </w:tc>
        <w:tc>
          <w:tcPr>
            <w:tcW w:w="1180" w:type="dxa"/>
            <w:tcBorders>
              <w:top w:val="single" w:color="auto" w:sz="4" w:space="0"/>
              <w:left w:val="nil"/>
              <w:bottom w:val="single" w:color="auto" w:sz="4" w:space="0"/>
              <w:right w:val="single" w:color="auto" w:sz="4" w:space="0"/>
            </w:tcBorders>
            <w:noWrap w:val="0"/>
            <w:vAlign w:val="center"/>
          </w:tcPr>
          <w:p>
            <w:pPr>
              <w:pStyle w:val="6"/>
              <w:keepNext w:val="0"/>
              <w:keepLines w:val="0"/>
              <w:widowControl/>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≥24</w:t>
            </w:r>
          </w:p>
        </w:tc>
        <w:tc>
          <w:tcPr>
            <w:tcW w:w="1100" w:type="dxa"/>
            <w:tcBorders>
              <w:top w:val="single" w:color="auto" w:sz="4" w:space="0"/>
              <w:left w:val="nil"/>
              <w:bottom w:val="single" w:color="auto" w:sz="4" w:space="0"/>
              <w:right w:val="single" w:color="auto" w:sz="4" w:space="0"/>
            </w:tcBorders>
            <w:noWrap w:val="0"/>
            <w:vAlign w:val="center"/>
          </w:tcPr>
          <w:p>
            <w:pPr>
              <w:pStyle w:val="6"/>
              <w:keepNext w:val="0"/>
              <w:keepLines w:val="0"/>
              <w:widowControl/>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≥14</w:t>
            </w:r>
          </w:p>
        </w:tc>
        <w:tc>
          <w:tcPr>
            <w:tcW w:w="1125" w:type="dxa"/>
            <w:tcBorders>
              <w:top w:val="single" w:color="auto" w:sz="4" w:space="0"/>
              <w:left w:val="nil"/>
              <w:bottom w:val="single" w:color="auto" w:sz="4" w:space="0"/>
              <w:right w:val="single" w:color="auto" w:sz="4" w:space="0"/>
            </w:tcBorders>
            <w:noWrap w:val="0"/>
            <w:vAlign w:val="center"/>
          </w:tcPr>
          <w:p>
            <w:pPr>
              <w:pStyle w:val="6"/>
              <w:keepNext w:val="0"/>
              <w:keepLines w:val="0"/>
              <w:widowControl/>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≥10</w:t>
            </w:r>
          </w:p>
        </w:tc>
        <w:tc>
          <w:tcPr>
            <w:tcW w:w="2230" w:type="dxa"/>
            <w:vMerge w:val="restart"/>
            <w:tcBorders>
              <w:top w:val="single" w:color="auto" w:sz="4" w:space="0"/>
              <w:left w:val="nil"/>
              <w:right w:val="single" w:color="auto" w:sz="4" w:space="0"/>
            </w:tcBorders>
            <w:noWrap w:val="0"/>
            <w:vAlign w:val="center"/>
          </w:tcPr>
          <w:p>
            <w:pPr>
              <w:pStyle w:val="6"/>
              <w:keepNext w:val="0"/>
              <w:keepLines w:val="0"/>
              <w:widowControl/>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≥109（</w:t>
            </w:r>
            <w:r>
              <w:rPr>
                <w:rFonts w:hint="eastAsia" w:ascii="宋体" w:hAnsi="宋体" w:eastAsia="宋体" w:cs="宋体"/>
                <w:kern w:val="2"/>
                <w:sz w:val="24"/>
                <w:szCs w:val="24"/>
                <w:highlight w:val="none"/>
                <w:lang w:val="en-US" w:eastAsia="zh-CN" w:bidi="ar"/>
              </w:rPr>
              <w:t>含3名白蚁防治或病媒生物防治或有害生物防制人员</w:t>
            </w:r>
            <w:r>
              <w:rPr>
                <w:rFonts w:hint="eastAsia" w:asciiTheme="minorEastAsia" w:hAnsiTheme="minorEastAsia" w:eastAsiaTheme="minorEastAsia" w:cstheme="minorEastAsia"/>
                <w:kern w:val="2"/>
                <w:sz w:val="24"/>
                <w:szCs w:val="24"/>
                <w:highlight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355"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widowControl/>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2"/>
                <w:sz w:val="24"/>
                <w:szCs w:val="24"/>
                <w:highlight w:val="none"/>
                <w:lang w:val="en-US" w:eastAsia="zh-CN" w:bidi="ar"/>
              </w:rPr>
            </w:pPr>
            <w:r>
              <w:rPr>
                <w:rFonts w:hint="eastAsia" w:asciiTheme="minorEastAsia" w:hAnsiTheme="minorEastAsia" w:eastAsiaTheme="minorEastAsia" w:cstheme="minorEastAsia"/>
                <w:sz w:val="24"/>
                <w:highlight w:val="none"/>
              </w:rPr>
              <w:t>荔枝公园</w:t>
            </w:r>
          </w:p>
        </w:tc>
        <w:tc>
          <w:tcPr>
            <w:tcW w:w="1235" w:type="dxa"/>
            <w:vMerge w:val="continue"/>
            <w:tcBorders>
              <w:left w:val="nil"/>
              <w:right w:val="single" w:color="auto" w:sz="4" w:space="0"/>
            </w:tcBorders>
            <w:noWrap w:val="0"/>
            <w:vAlign w:val="center"/>
          </w:tcPr>
          <w:p>
            <w:pPr>
              <w:pStyle w:val="6"/>
              <w:keepNext w:val="0"/>
              <w:keepLines w:val="0"/>
              <w:widowControl/>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2"/>
                <w:sz w:val="24"/>
                <w:szCs w:val="24"/>
                <w:highlight w:val="none"/>
                <w:lang w:val="en-US" w:eastAsia="zh-CN" w:bidi="ar"/>
              </w:rPr>
            </w:pPr>
          </w:p>
        </w:tc>
        <w:tc>
          <w:tcPr>
            <w:tcW w:w="1241" w:type="dxa"/>
            <w:vMerge w:val="continue"/>
            <w:tcBorders>
              <w:left w:val="nil"/>
              <w:right w:val="single" w:color="auto" w:sz="4" w:space="0"/>
            </w:tcBorders>
            <w:noWrap w:val="0"/>
            <w:vAlign w:val="center"/>
          </w:tcPr>
          <w:p>
            <w:pPr>
              <w:pStyle w:val="6"/>
              <w:keepNext w:val="0"/>
              <w:keepLines w:val="0"/>
              <w:widowControl/>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2"/>
                <w:sz w:val="24"/>
                <w:szCs w:val="24"/>
                <w:highlight w:val="none"/>
                <w:lang w:val="en-US" w:eastAsia="zh-CN" w:bidi="ar"/>
              </w:rPr>
            </w:pPr>
          </w:p>
        </w:tc>
        <w:tc>
          <w:tcPr>
            <w:tcW w:w="1180" w:type="dxa"/>
            <w:tcBorders>
              <w:top w:val="single" w:color="auto" w:sz="4" w:space="0"/>
              <w:left w:val="nil"/>
              <w:bottom w:val="single" w:color="auto" w:sz="4" w:space="0"/>
              <w:right w:val="single" w:color="auto" w:sz="4" w:space="0"/>
            </w:tcBorders>
            <w:noWrap w:val="0"/>
            <w:vAlign w:val="center"/>
          </w:tcPr>
          <w:p>
            <w:pPr>
              <w:pStyle w:val="6"/>
              <w:keepNext w:val="0"/>
              <w:keepLines w:val="0"/>
              <w:widowControl/>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eastAsiaTheme="minorEastAsia" w:cstheme="minorEastAsia"/>
                <w:kern w:val="0"/>
                <w:sz w:val="24"/>
                <w:szCs w:val="24"/>
                <w:highlight w:val="none"/>
                <w:lang w:val="en-US" w:eastAsia="zh-CN" w:bidi="ar-SA"/>
              </w:rPr>
            </w:pPr>
            <w:r>
              <w:rPr>
                <w:rFonts w:hint="eastAsia" w:asciiTheme="minorEastAsia" w:hAnsiTheme="minorEastAsia" w:eastAsiaTheme="minorEastAsia" w:cstheme="minorEastAsia"/>
                <w:kern w:val="2"/>
                <w:sz w:val="24"/>
                <w:szCs w:val="24"/>
                <w:highlight w:val="none"/>
                <w:lang w:val="en-US" w:eastAsia="zh-CN" w:bidi="ar"/>
              </w:rPr>
              <w:t>≥6</w:t>
            </w:r>
          </w:p>
        </w:tc>
        <w:tc>
          <w:tcPr>
            <w:tcW w:w="1100" w:type="dxa"/>
            <w:tcBorders>
              <w:top w:val="single" w:color="auto" w:sz="4" w:space="0"/>
              <w:left w:val="nil"/>
              <w:bottom w:val="single" w:color="auto" w:sz="4" w:space="0"/>
              <w:right w:val="single" w:color="auto" w:sz="4" w:space="0"/>
            </w:tcBorders>
            <w:noWrap w:val="0"/>
            <w:vAlign w:val="center"/>
          </w:tcPr>
          <w:p>
            <w:pPr>
              <w:pStyle w:val="6"/>
              <w:keepNext w:val="0"/>
              <w:keepLines w:val="0"/>
              <w:widowControl/>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eastAsiaTheme="minorEastAsia" w:cstheme="minorEastAsia"/>
                <w:kern w:val="0"/>
                <w:sz w:val="24"/>
                <w:szCs w:val="24"/>
                <w:highlight w:val="none"/>
                <w:lang w:val="en-US" w:eastAsia="zh-CN" w:bidi="ar-SA"/>
              </w:rPr>
            </w:pPr>
            <w:r>
              <w:rPr>
                <w:rFonts w:hint="eastAsia" w:asciiTheme="minorEastAsia" w:hAnsiTheme="minorEastAsia" w:eastAsiaTheme="minorEastAsia" w:cstheme="minorEastAsia"/>
                <w:kern w:val="2"/>
                <w:sz w:val="24"/>
                <w:szCs w:val="24"/>
                <w:highlight w:val="none"/>
                <w:lang w:val="en-US" w:eastAsia="zh-CN" w:bidi="ar"/>
              </w:rPr>
              <w:t>≥3</w:t>
            </w:r>
          </w:p>
        </w:tc>
        <w:tc>
          <w:tcPr>
            <w:tcW w:w="1125" w:type="dxa"/>
            <w:tcBorders>
              <w:top w:val="single" w:color="auto" w:sz="4" w:space="0"/>
              <w:left w:val="nil"/>
              <w:bottom w:val="single" w:color="auto" w:sz="4" w:space="0"/>
              <w:right w:val="single" w:color="auto" w:sz="4" w:space="0"/>
            </w:tcBorders>
            <w:noWrap w:val="0"/>
            <w:vAlign w:val="center"/>
          </w:tcPr>
          <w:p>
            <w:pPr>
              <w:pStyle w:val="6"/>
              <w:keepNext w:val="0"/>
              <w:keepLines w:val="0"/>
              <w:widowControl/>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eastAsiaTheme="minorEastAsia" w:cstheme="minorEastAsia"/>
                <w:kern w:val="0"/>
                <w:sz w:val="24"/>
                <w:szCs w:val="24"/>
                <w:highlight w:val="none"/>
                <w:lang w:val="en-US" w:eastAsia="zh-CN" w:bidi="ar-SA"/>
              </w:rPr>
            </w:pPr>
            <w:r>
              <w:rPr>
                <w:rFonts w:hint="eastAsia" w:asciiTheme="minorEastAsia" w:hAnsiTheme="minorEastAsia" w:eastAsiaTheme="minorEastAsia" w:cstheme="minorEastAsia"/>
                <w:kern w:val="2"/>
                <w:sz w:val="24"/>
                <w:szCs w:val="24"/>
                <w:highlight w:val="none"/>
                <w:lang w:val="en-US" w:eastAsia="zh-CN" w:bidi="ar"/>
              </w:rPr>
              <w:t>≥4</w:t>
            </w:r>
          </w:p>
        </w:tc>
        <w:tc>
          <w:tcPr>
            <w:tcW w:w="2230" w:type="dxa"/>
            <w:vMerge w:val="continue"/>
            <w:tcBorders>
              <w:left w:val="nil"/>
              <w:right w:val="single" w:color="auto" w:sz="4" w:space="0"/>
            </w:tcBorders>
            <w:noWrap w:val="0"/>
            <w:vAlign w:val="center"/>
          </w:tcPr>
          <w:p>
            <w:pPr>
              <w:pStyle w:val="6"/>
              <w:keepNext w:val="0"/>
              <w:keepLines w:val="0"/>
              <w:widowControl/>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2"/>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355"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widowControl/>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2"/>
                <w:sz w:val="24"/>
                <w:szCs w:val="24"/>
                <w:highlight w:val="none"/>
                <w:lang w:val="en-US" w:eastAsia="zh-CN" w:bidi="ar"/>
              </w:rPr>
            </w:pPr>
            <w:r>
              <w:rPr>
                <w:rFonts w:hint="eastAsia" w:asciiTheme="minorEastAsia" w:hAnsiTheme="minorEastAsia" w:eastAsiaTheme="minorEastAsia" w:cstheme="minorEastAsia"/>
                <w:sz w:val="24"/>
                <w:highlight w:val="none"/>
              </w:rPr>
              <w:t>秦岭公园</w:t>
            </w:r>
          </w:p>
        </w:tc>
        <w:tc>
          <w:tcPr>
            <w:tcW w:w="1235" w:type="dxa"/>
            <w:vMerge w:val="continue"/>
            <w:tcBorders>
              <w:left w:val="nil"/>
              <w:right w:val="single" w:color="auto" w:sz="4" w:space="0"/>
            </w:tcBorders>
            <w:noWrap w:val="0"/>
            <w:vAlign w:val="center"/>
          </w:tcPr>
          <w:p>
            <w:pPr>
              <w:pStyle w:val="6"/>
              <w:keepNext w:val="0"/>
              <w:keepLines w:val="0"/>
              <w:widowControl/>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2"/>
                <w:sz w:val="24"/>
                <w:szCs w:val="24"/>
                <w:highlight w:val="none"/>
                <w:lang w:val="en-US" w:eastAsia="zh-CN" w:bidi="ar"/>
              </w:rPr>
            </w:pPr>
          </w:p>
        </w:tc>
        <w:tc>
          <w:tcPr>
            <w:tcW w:w="1241" w:type="dxa"/>
            <w:vMerge w:val="continue"/>
            <w:tcBorders>
              <w:left w:val="nil"/>
              <w:right w:val="single" w:color="auto" w:sz="4" w:space="0"/>
            </w:tcBorders>
            <w:noWrap w:val="0"/>
            <w:vAlign w:val="center"/>
          </w:tcPr>
          <w:p>
            <w:pPr>
              <w:pStyle w:val="6"/>
              <w:keepNext w:val="0"/>
              <w:keepLines w:val="0"/>
              <w:widowControl/>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2"/>
                <w:sz w:val="24"/>
                <w:szCs w:val="24"/>
                <w:highlight w:val="none"/>
                <w:lang w:val="en-US" w:eastAsia="zh-CN" w:bidi="ar"/>
              </w:rPr>
            </w:pPr>
          </w:p>
        </w:tc>
        <w:tc>
          <w:tcPr>
            <w:tcW w:w="1180" w:type="dxa"/>
            <w:tcBorders>
              <w:top w:val="single" w:color="auto" w:sz="4" w:space="0"/>
              <w:left w:val="nil"/>
              <w:bottom w:val="single" w:color="auto" w:sz="4" w:space="0"/>
              <w:right w:val="single" w:color="auto" w:sz="4" w:space="0"/>
            </w:tcBorders>
            <w:noWrap w:val="0"/>
            <w:vAlign w:val="center"/>
          </w:tcPr>
          <w:p>
            <w:pPr>
              <w:pStyle w:val="6"/>
              <w:keepNext w:val="0"/>
              <w:keepLines w:val="0"/>
              <w:widowControl/>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eastAsiaTheme="minorEastAsia" w:cstheme="minorEastAsia"/>
                <w:kern w:val="0"/>
                <w:sz w:val="24"/>
                <w:szCs w:val="24"/>
                <w:highlight w:val="none"/>
                <w:lang w:val="en-US" w:eastAsia="zh-CN" w:bidi="ar-SA"/>
              </w:rPr>
            </w:pPr>
            <w:r>
              <w:rPr>
                <w:rFonts w:hint="eastAsia" w:asciiTheme="minorEastAsia" w:hAnsiTheme="minorEastAsia" w:eastAsiaTheme="minorEastAsia" w:cstheme="minorEastAsia"/>
                <w:kern w:val="2"/>
                <w:sz w:val="24"/>
                <w:szCs w:val="24"/>
                <w:highlight w:val="none"/>
                <w:lang w:val="en-US" w:eastAsia="zh-CN" w:bidi="ar"/>
              </w:rPr>
              <w:t>≥6</w:t>
            </w:r>
          </w:p>
        </w:tc>
        <w:tc>
          <w:tcPr>
            <w:tcW w:w="1100" w:type="dxa"/>
            <w:tcBorders>
              <w:top w:val="single" w:color="auto" w:sz="4" w:space="0"/>
              <w:left w:val="nil"/>
              <w:bottom w:val="single" w:color="auto" w:sz="4" w:space="0"/>
              <w:right w:val="single" w:color="auto" w:sz="4" w:space="0"/>
            </w:tcBorders>
            <w:noWrap w:val="0"/>
            <w:vAlign w:val="center"/>
          </w:tcPr>
          <w:p>
            <w:pPr>
              <w:pStyle w:val="6"/>
              <w:keepNext w:val="0"/>
              <w:keepLines w:val="0"/>
              <w:widowControl/>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eastAsiaTheme="minorEastAsia" w:cstheme="minorEastAsia"/>
                <w:kern w:val="0"/>
                <w:sz w:val="24"/>
                <w:szCs w:val="24"/>
                <w:highlight w:val="none"/>
                <w:lang w:val="en-US" w:eastAsia="zh-CN" w:bidi="ar-SA"/>
              </w:rPr>
            </w:pPr>
            <w:r>
              <w:rPr>
                <w:rFonts w:hint="eastAsia" w:asciiTheme="minorEastAsia" w:hAnsiTheme="minorEastAsia" w:eastAsiaTheme="minorEastAsia" w:cstheme="minorEastAsia"/>
                <w:kern w:val="2"/>
                <w:sz w:val="24"/>
                <w:szCs w:val="24"/>
                <w:highlight w:val="none"/>
                <w:lang w:val="en-US" w:eastAsia="zh-CN" w:bidi="ar"/>
              </w:rPr>
              <w:t>≥2</w:t>
            </w:r>
          </w:p>
        </w:tc>
        <w:tc>
          <w:tcPr>
            <w:tcW w:w="1125" w:type="dxa"/>
            <w:tcBorders>
              <w:top w:val="single" w:color="auto" w:sz="4" w:space="0"/>
              <w:left w:val="nil"/>
              <w:bottom w:val="single" w:color="auto" w:sz="4" w:space="0"/>
              <w:right w:val="single" w:color="auto" w:sz="4" w:space="0"/>
            </w:tcBorders>
            <w:noWrap w:val="0"/>
            <w:vAlign w:val="center"/>
          </w:tcPr>
          <w:p>
            <w:pPr>
              <w:pStyle w:val="6"/>
              <w:keepNext w:val="0"/>
              <w:keepLines w:val="0"/>
              <w:widowControl/>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eastAsiaTheme="minorEastAsia" w:cstheme="minorEastAsia"/>
                <w:kern w:val="0"/>
                <w:sz w:val="24"/>
                <w:szCs w:val="24"/>
                <w:highlight w:val="none"/>
                <w:lang w:val="en-US" w:eastAsia="zh-CN" w:bidi="ar-SA"/>
              </w:rPr>
            </w:pPr>
            <w:r>
              <w:rPr>
                <w:rFonts w:hint="eastAsia" w:asciiTheme="minorEastAsia" w:hAnsiTheme="minorEastAsia" w:eastAsiaTheme="minorEastAsia" w:cstheme="minorEastAsia"/>
                <w:kern w:val="2"/>
                <w:sz w:val="24"/>
                <w:szCs w:val="24"/>
                <w:highlight w:val="none"/>
                <w:lang w:val="en-US" w:eastAsia="zh-CN" w:bidi="ar"/>
              </w:rPr>
              <w:t>≥2</w:t>
            </w:r>
          </w:p>
        </w:tc>
        <w:tc>
          <w:tcPr>
            <w:tcW w:w="2230" w:type="dxa"/>
            <w:vMerge w:val="continue"/>
            <w:tcBorders>
              <w:left w:val="nil"/>
              <w:right w:val="single" w:color="auto" w:sz="4" w:space="0"/>
            </w:tcBorders>
            <w:noWrap w:val="0"/>
            <w:vAlign w:val="center"/>
          </w:tcPr>
          <w:p>
            <w:pPr>
              <w:pStyle w:val="6"/>
              <w:keepNext w:val="0"/>
              <w:keepLines w:val="0"/>
              <w:widowControl/>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2"/>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355"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widowControl/>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文园山公园</w:t>
            </w:r>
          </w:p>
        </w:tc>
        <w:tc>
          <w:tcPr>
            <w:tcW w:w="1235" w:type="dxa"/>
            <w:vMerge w:val="continue"/>
            <w:tcBorders>
              <w:left w:val="nil"/>
              <w:right w:val="single" w:color="auto" w:sz="4" w:space="0"/>
            </w:tcBorders>
            <w:noWrap w:val="0"/>
            <w:vAlign w:val="center"/>
          </w:tcPr>
          <w:p>
            <w:pPr>
              <w:pStyle w:val="6"/>
              <w:keepNext w:val="0"/>
              <w:keepLines w:val="0"/>
              <w:widowControl/>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2"/>
                <w:sz w:val="24"/>
                <w:szCs w:val="24"/>
                <w:highlight w:val="none"/>
                <w:lang w:val="en-US" w:eastAsia="zh-CN" w:bidi="ar"/>
              </w:rPr>
            </w:pPr>
          </w:p>
        </w:tc>
        <w:tc>
          <w:tcPr>
            <w:tcW w:w="1241" w:type="dxa"/>
            <w:vMerge w:val="continue"/>
            <w:tcBorders>
              <w:left w:val="nil"/>
              <w:right w:val="single" w:color="auto" w:sz="4" w:space="0"/>
            </w:tcBorders>
            <w:noWrap w:val="0"/>
            <w:vAlign w:val="center"/>
          </w:tcPr>
          <w:p>
            <w:pPr>
              <w:pStyle w:val="6"/>
              <w:keepNext w:val="0"/>
              <w:keepLines w:val="0"/>
              <w:widowControl/>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2"/>
                <w:sz w:val="24"/>
                <w:szCs w:val="24"/>
                <w:highlight w:val="none"/>
                <w:lang w:val="en-US" w:eastAsia="zh-CN" w:bidi="ar"/>
              </w:rPr>
            </w:pPr>
          </w:p>
        </w:tc>
        <w:tc>
          <w:tcPr>
            <w:tcW w:w="1180" w:type="dxa"/>
            <w:tcBorders>
              <w:top w:val="single" w:color="auto" w:sz="4" w:space="0"/>
              <w:left w:val="nil"/>
              <w:bottom w:val="single" w:color="auto" w:sz="4" w:space="0"/>
              <w:right w:val="single" w:color="auto" w:sz="4" w:space="0"/>
            </w:tcBorders>
            <w:noWrap w:val="0"/>
            <w:vAlign w:val="center"/>
          </w:tcPr>
          <w:p>
            <w:pPr>
              <w:pStyle w:val="6"/>
              <w:keepNext w:val="0"/>
              <w:keepLines w:val="0"/>
              <w:widowControl/>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eastAsiaTheme="minorEastAsia" w:cstheme="minorEastAsia"/>
                <w:kern w:val="0"/>
                <w:sz w:val="24"/>
                <w:szCs w:val="24"/>
                <w:highlight w:val="none"/>
                <w:lang w:val="en-US" w:eastAsia="zh-CN" w:bidi="ar-SA"/>
              </w:rPr>
            </w:pPr>
            <w:r>
              <w:rPr>
                <w:rFonts w:hint="eastAsia" w:asciiTheme="minorEastAsia" w:hAnsiTheme="minorEastAsia" w:eastAsiaTheme="minorEastAsia" w:cstheme="minorEastAsia"/>
                <w:kern w:val="2"/>
                <w:sz w:val="24"/>
                <w:szCs w:val="24"/>
                <w:highlight w:val="none"/>
                <w:lang w:val="en-US" w:eastAsia="zh-CN" w:bidi="ar"/>
              </w:rPr>
              <w:t>≥6</w:t>
            </w:r>
          </w:p>
        </w:tc>
        <w:tc>
          <w:tcPr>
            <w:tcW w:w="1100" w:type="dxa"/>
            <w:tcBorders>
              <w:top w:val="single" w:color="auto" w:sz="4" w:space="0"/>
              <w:left w:val="nil"/>
              <w:bottom w:val="single" w:color="auto" w:sz="4" w:space="0"/>
              <w:right w:val="single" w:color="auto" w:sz="4" w:space="0"/>
            </w:tcBorders>
            <w:noWrap w:val="0"/>
            <w:vAlign w:val="center"/>
          </w:tcPr>
          <w:p>
            <w:pPr>
              <w:pStyle w:val="6"/>
              <w:keepNext w:val="0"/>
              <w:keepLines w:val="0"/>
              <w:widowControl/>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eastAsiaTheme="minorEastAsia" w:cstheme="minorEastAsia"/>
                <w:kern w:val="0"/>
                <w:sz w:val="24"/>
                <w:szCs w:val="24"/>
                <w:highlight w:val="none"/>
                <w:lang w:val="en-US" w:eastAsia="zh-CN" w:bidi="ar-SA"/>
              </w:rPr>
            </w:pPr>
            <w:r>
              <w:rPr>
                <w:rFonts w:hint="eastAsia" w:asciiTheme="minorEastAsia" w:hAnsiTheme="minorEastAsia" w:eastAsiaTheme="minorEastAsia" w:cstheme="minorEastAsia"/>
                <w:kern w:val="2"/>
                <w:sz w:val="24"/>
                <w:szCs w:val="24"/>
                <w:highlight w:val="none"/>
                <w:lang w:val="en-US" w:eastAsia="zh-CN" w:bidi="ar"/>
              </w:rPr>
              <w:t>≥3</w:t>
            </w:r>
          </w:p>
        </w:tc>
        <w:tc>
          <w:tcPr>
            <w:tcW w:w="1125" w:type="dxa"/>
            <w:tcBorders>
              <w:top w:val="single" w:color="auto" w:sz="4" w:space="0"/>
              <w:left w:val="nil"/>
              <w:bottom w:val="single" w:color="auto" w:sz="4" w:space="0"/>
              <w:right w:val="single" w:color="auto" w:sz="4" w:space="0"/>
            </w:tcBorders>
            <w:noWrap w:val="0"/>
            <w:vAlign w:val="center"/>
          </w:tcPr>
          <w:p>
            <w:pPr>
              <w:pStyle w:val="6"/>
              <w:keepNext w:val="0"/>
              <w:keepLines w:val="0"/>
              <w:widowControl/>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eastAsiaTheme="minorEastAsia" w:cstheme="minorEastAsia"/>
                <w:kern w:val="0"/>
                <w:sz w:val="24"/>
                <w:szCs w:val="24"/>
                <w:highlight w:val="none"/>
                <w:lang w:val="en-US" w:eastAsia="zh-CN" w:bidi="ar-SA"/>
              </w:rPr>
            </w:pPr>
            <w:r>
              <w:rPr>
                <w:rFonts w:hint="eastAsia" w:asciiTheme="minorEastAsia" w:hAnsiTheme="minorEastAsia" w:eastAsiaTheme="minorEastAsia" w:cstheme="minorEastAsia"/>
                <w:kern w:val="2"/>
                <w:sz w:val="24"/>
                <w:szCs w:val="24"/>
                <w:highlight w:val="none"/>
                <w:lang w:val="en-US" w:eastAsia="zh-CN" w:bidi="ar"/>
              </w:rPr>
              <w:t>≥2</w:t>
            </w:r>
          </w:p>
        </w:tc>
        <w:tc>
          <w:tcPr>
            <w:tcW w:w="2230" w:type="dxa"/>
            <w:vMerge w:val="continue"/>
            <w:tcBorders>
              <w:left w:val="nil"/>
              <w:right w:val="single" w:color="auto" w:sz="4" w:space="0"/>
            </w:tcBorders>
            <w:noWrap w:val="0"/>
            <w:vAlign w:val="center"/>
          </w:tcPr>
          <w:p>
            <w:pPr>
              <w:pStyle w:val="6"/>
              <w:keepNext w:val="0"/>
              <w:keepLines w:val="0"/>
              <w:widowControl/>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2"/>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355"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widowControl/>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sz w:val="24"/>
                <w:highlight w:val="none"/>
              </w:rPr>
              <w:t>牛山炮台公园</w:t>
            </w:r>
          </w:p>
        </w:tc>
        <w:tc>
          <w:tcPr>
            <w:tcW w:w="1235" w:type="dxa"/>
            <w:vMerge w:val="continue"/>
            <w:tcBorders>
              <w:left w:val="nil"/>
              <w:right w:val="single" w:color="auto" w:sz="4" w:space="0"/>
            </w:tcBorders>
            <w:noWrap w:val="0"/>
            <w:vAlign w:val="center"/>
          </w:tcPr>
          <w:p>
            <w:pPr>
              <w:pStyle w:val="6"/>
              <w:keepNext w:val="0"/>
              <w:keepLines w:val="0"/>
              <w:widowControl/>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2"/>
                <w:sz w:val="24"/>
                <w:szCs w:val="24"/>
                <w:highlight w:val="none"/>
                <w:lang w:val="en-US" w:eastAsia="zh-CN" w:bidi="ar"/>
              </w:rPr>
            </w:pPr>
          </w:p>
        </w:tc>
        <w:tc>
          <w:tcPr>
            <w:tcW w:w="1241" w:type="dxa"/>
            <w:vMerge w:val="continue"/>
            <w:tcBorders>
              <w:left w:val="nil"/>
              <w:right w:val="single" w:color="auto" w:sz="4" w:space="0"/>
            </w:tcBorders>
            <w:noWrap w:val="0"/>
            <w:vAlign w:val="center"/>
          </w:tcPr>
          <w:p>
            <w:pPr>
              <w:pStyle w:val="6"/>
              <w:keepNext w:val="0"/>
              <w:keepLines w:val="0"/>
              <w:widowControl/>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2"/>
                <w:sz w:val="24"/>
                <w:szCs w:val="24"/>
                <w:highlight w:val="none"/>
                <w:lang w:val="en-US" w:eastAsia="zh-CN" w:bidi="ar"/>
              </w:rPr>
            </w:pPr>
          </w:p>
        </w:tc>
        <w:tc>
          <w:tcPr>
            <w:tcW w:w="1180" w:type="dxa"/>
            <w:tcBorders>
              <w:top w:val="single" w:color="auto" w:sz="4" w:space="0"/>
              <w:left w:val="nil"/>
              <w:bottom w:val="single" w:color="auto" w:sz="4" w:space="0"/>
              <w:right w:val="single" w:color="auto" w:sz="4" w:space="0"/>
            </w:tcBorders>
            <w:noWrap w:val="0"/>
            <w:vAlign w:val="center"/>
          </w:tcPr>
          <w:p>
            <w:pPr>
              <w:pStyle w:val="6"/>
              <w:keepNext w:val="0"/>
              <w:keepLines w:val="0"/>
              <w:widowControl/>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eastAsiaTheme="minorEastAsia" w:cstheme="minorEastAsia"/>
                <w:kern w:val="0"/>
                <w:sz w:val="24"/>
                <w:szCs w:val="24"/>
                <w:highlight w:val="none"/>
                <w:lang w:val="en-US" w:eastAsia="zh-CN" w:bidi="ar-SA"/>
              </w:rPr>
            </w:pPr>
            <w:r>
              <w:rPr>
                <w:rFonts w:hint="eastAsia" w:asciiTheme="minorEastAsia" w:hAnsiTheme="minorEastAsia" w:eastAsiaTheme="minorEastAsia" w:cstheme="minorEastAsia"/>
                <w:kern w:val="2"/>
                <w:sz w:val="24"/>
                <w:szCs w:val="24"/>
                <w:highlight w:val="none"/>
                <w:lang w:val="en-US" w:eastAsia="zh-CN" w:bidi="ar"/>
              </w:rPr>
              <w:t>≥12</w:t>
            </w:r>
          </w:p>
        </w:tc>
        <w:tc>
          <w:tcPr>
            <w:tcW w:w="1100" w:type="dxa"/>
            <w:tcBorders>
              <w:top w:val="single" w:color="auto" w:sz="4" w:space="0"/>
              <w:left w:val="nil"/>
              <w:bottom w:val="single" w:color="auto" w:sz="4" w:space="0"/>
              <w:right w:val="single" w:color="auto" w:sz="4" w:space="0"/>
            </w:tcBorders>
            <w:noWrap w:val="0"/>
            <w:vAlign w:val="center"/>
          </w:tcPr>
          <w:p>
            <w:pPr>
              <w:pStyle w:val="6"/>
              <w:keepNext w:val="0"/>
              <w:keepLines w:val="0"/>
              <w:widowControl/>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eastAsiaTheme="minorEastAsia" w:cstheme="minorEastAsia"/>
                <w:kern w:val="0"/>
                <w:sz w:val="24"/>
                <w:szCs w:val="24"/>
                <w:highlight w:val="none"/>
                <w:lang w:val="en-US" w:eastAsia="zh-CN" w:bidi="ar-SA"/>
              </w:rPr>
            </w:pPr>
            <w:r>
              <w:rPr>
                <w:rFonts w:hint="eastAsia" w:asciiTheme="minorEastAsia" w:hAnsiTheme="minorEastAsia" w:eastAsiaTheme="minorEastAsia" w:cstheme="minorEastAsia"/>
                <w:kern w:val="2"/>
                <w:sz w:val="24"/>
                <w:szCs w:val="24"/>
                <w:highlight w:val="none"/>
                <w:lang w:val="en-US" w:eastAsia="zh-CN" w:bidi="ar"/>
              </w:rPr>
              <w:t>≥6</w:t>
            </w:r>
          </w:p>
        </w:tc>
        <w:tc>
          <w:tcPr>
            <w:tcW w:w="1125" w:type="dxa"/>
            <w:tcBorders>
              <w:top w:val="single" w:color="auto" w:sz="4" w:space="0"/>
              <w:left w:val="nil"/>
              <w:bottom w:val="single" w:color="auto" w:sz="4" w:space="0"/>
              <w:right w:val="single" w:color="auto" w:sz="4" w:space="0"/>
            </w:tcBorders>
            <w:noWrap w:val="0"/>
            <w:vAlign w:val="center"/>
          </w:tcPr>
          <w:p>
            <w:pPr>
              <w:pStyle w:val="6"/>
              <w:keepNext w:val="0"/>
              <w:keepLines w:val="0"/>
              <w:widowControl/>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eastAsiaTheme="minorEastAsia" w:cstheme="minorEastAsia"/>
                <w:kern w:val="0"/>
                <w:sz w:val="24"/>
                <w:szCs w:val="24"/>
                <w:highlight w:val="none"/>
                <w:lang w:val="en-US" w:eastAsia="zh-CN" w:bidi="ar-SA"/>
              </w:rPr>
            </w:pPr>
            <w:r>
              <w:rPr>
                <w:rFonts w:hint="eastAsia" w:asciiTheme="minorEastAsia" w:hAnsiTheme="minorEastAsia" w:eastAsiaTheme="minorEastAsia" w:cstheme="minorEastAsia"/>
                <w:kern w:val="2"/>
                <w:sz w:val="24"/>
                <w:szCs w:val="24"/>
                <w:highlight w:val="none"/>
                <w:lang w:val="en-US" w:eastAsia="zh-CN" w:bidi="ar"/>
              </w:rPr>
              <w:t>≥4</w:t>
            </w:r>
          </w:p>
        </w:tc>
        <w:tc>
          <w:tcPr>
            <w:tcW w:w="2230" w:type="dxa"/>
            <w:vMerge w:val="continue"/>
            <w:tcBorders>
              <w:left w:val="nil"/>
              <w:bottom w:val="single" w:color="auto" w:sz="4" w:space="0"/>
              <w:right w:val="single" w:color="auto" w:sz="4" w:space="0"/>
            </w:tcBorders>
            <w:noWrap w:val="0"/>
            <w:vAlign w:val="center"/>
          </w:tcPr>
          <w:p>
            <w:pPr>
              <w:pStyle w:val="6"/>
              <w:keepNext w:val="0"/>
              <w:keepLines w:val="0"/>
              <w:widowControl/>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2"/>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355" w:type="dxa"/>
            <w:tcBorders>
              <w:top w:val="single" w:color="auto" w:sz="4" w:space="0"/>
              <w:left w:val="single" w:color="auto" w:sz="4" w:space="0"/>
              <w:bottom w:val="single" w:color="auto" w:sz="4" w:space="0"/>
              <w:right w:val="single" w:color="auto" w:sz="4" w:space="0"/>
            </w:tcBorders>
            <w:noWrap w:val="0"/>
            <w:vAlign w:val="center"/>
          </w:tcPr>
          <w:p>
            <w:pPr>
              <w:pStyle w:val="6"/>
              <w:keepNext w:val="0"/>
              <w:keepLines w:val="0"/>
              <w:widowControl/>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sz w:val="24"/>
                <w:highlight w:val="none"/>
                <w:lang w:eastAsia="zh-CN"/>
              </w:rPr>
            </w:pPr>
            <w:r>
              <w:rPr>
                <w:rFonts w:hint="eastAsia" w:asciiTheme="minorEastAsia" w:hAnsiTheme="minorEastAsia" w:eastAsiaTheme="minorEastAsia" w:cstheme="minorEastAsia"/>
                <w:sz w:val="24"/>
                <w:highlight w:val="none"/>
                <w:lang w:eastAsia="zh-CN"/>
              </w:rPr>
              <w:t>合计</w:t>
            </w:r>
          </w:p>
        </w:tc>
        <w:tc>
          <w:tcPr>
            <w:tcW w:w="1235" w:type="dxa"/>
            <w:tcBorders>
              <w:left w:val="nil"/>
              <w:bottom w:val="single" w:color="auto" w:sz="4" w:space="0"/>
              <w:right w:val="single" w:color="auto" w:sz="4" w:space="0"/>
            </w:tcBorders>
            <w:noWrap w:val="0"/>
            <w:vAlign w:val="center"/>
          </w:tcPr>
          <w:p>
            <w:pPr>
              <w:pStyle w:val="6"/>
              <w:keepNext w:val="0"/>
              <w:keepLines w:val="0"/>
              <w:widowControl/>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2"/>
                <w:sz w:val="24"/>
                <w:szCs w:val="24"/>
                <w:highlight w:val="none"/>
                <w:lang w:val="en-US" w:eastAsia="zh-CN" w:bidi="ar"/>
              </w:rPr>
            </w:pPr>
            <w:r>
              <w:rPr>
                <w:rFonts w:hint="eastAsia" w:asciiTheme="minorEastAsia" w:hAnsiTheme="minorEastAsia" w:eastAsiaTheme="minorEastAsia" w:cstheme="minorEastAsia"/>
                <w:kern w:val="2"/>
                <w:sz w:val="24"/>
                <w:szCs w:val="24"/>
                <w:highlight w:val="none"/>
                <w:lang w:val="en-US" w:eastAsia="zh-CN" w:bidi="ar"/>
              </w:rPr>
              <w:t>1</w:t>
            </w:r>
          </w:p>
        </w:tc>
        <w:tc>
          <w:tcPr>
            <w:tcW w:w="1241" w:type="dxa"/>
            <w:tcBorders>
              <w:left w:val="nil"/>
              <w:bottom w:val="single" w:color="auto" w:sz="4" w:space="0"/>
              <w:right w:val="single" w:color="auto" w:sz="4" w:space="0"/>
            </w:tcBorders>
            <w:noWrap w:val="0"/>
            <w:vAlign w:val="center"/>
          </w:tcPr>
          <w:p>
            <w:pPr>
              <w:pStyle w:val="6"/>
              <w:keepNext w:val="0"/>
              <w:keepLines w:val="0"/>
              <w:widowControl/>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2"/>
                <w:sz w:val="24"/>
                <w:szCs w:val="24"/>
                <w:highlight w:val="none"/>
                <w:lang w:val="en-US" w:eastAsia="zh-CN" w:bidi="ar"/>
              </w:rPr>
            </w:pPr>
            <w:r>
              <w:rPr>
                <w:rFonts w:hint="eastAsia" w:asciiTheme="minorEastAsia" w:hAnsiTheme="minorEastAsia" w:eastAsiaTheme="minorEastAsia" w:cstheme="minorEastAsia"/>
                <w:kern w:val="2"/>
                <w:sz w:val="24"/>
                <w:szCs w:val="24"/>
                <w:highlight w:val="none"/>
                <w:lang w:val="en-US" w:eastAsia="zh-CN" w:bidi="ar"/>
              </w:rPr>
              <w:t>1</w:t>
            </w:r>
          </w:p>
        </w:tc>
        <w:tc>
          <w:tcPr>
            <w:tcW w:w="1180" w:type="dxa"/>
            <w:tcBorders>
              <w:top w:val="single" w:color="auto" w:sz="4" w:space="0"/>
              <w:left w:val="nil"/>
              <w:bottom w:val="single" w:color="auto" w:sz="4" w:space="0"/>
              <w:right w:val="single" w:color="auto" w:sz="4" w:space="0"/>
            </w:tcBorders>
            <w:noWrap w:val="0"/>
            <w:vAlign w:val="center"/>
          </w:tcPr>
          <w:p>
            <w:pPr>
              <w:pStyle w:val="6"/>
              <w:keepNext w:val="0"/>
              <w:keepLines w:val="0"/>
              <w:widowControl/>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eastAsiaTheme="minorEastAsia" w:cstheme="minorEastAsia"/>
                <w:kern w:val="0"/>
                <w:sz w:val="24"/>
                <w:szCs w:val="24"/>
                <w:highlight w:val="none"/>
                <w:lang w:val="en-US" w:eastAsia="zh-CN" w:bidi="ar-SA"/>
              </w:rPr>
            </w:pPr>
            <w:r>
              <w:rPr>
                <w:rFonts w:hint="eastAsia" w:asciiTheme="minorEastAsia" w:hAnsiTheme="minorEastAsia" w:eastAsiaTheme="minorEastAsia" w:cstheme="minorEastAsia"/>
                <w:kern w:val="2"/>
                <w:sz w:val="24"/>
                <w:szCs w:val="24"/>
                <w:highlight w:val="none"/>
                <w:lang w:val="en-US" w:eastAsia="zh-CN" w:bidi="ar"/>
              </w:rPr>
              <w:t>≥54</w:t>
            </w:r>
          </w:p>
        </w:tc>
        <w:tc>
          <w:tcPr>
            <w:tcW w:w="1100" w:type="dxa"/>
            <w:tcBorders>
              <w:top w:val="single" w:color="auto" w:sz="4" w:space="0"/>
              <w:left w:val="nil"/>
              <w:bottom w:val="single" w:color="auto" w:sz="4" w:space="0"/>
              <w:right w:val="single" w:color="auto" w:sz="4" w:space="0"/>
            </w:tcBorders>
            <w:noWrap w:val="0"/>
            <w:vAlign w:val="center"/>
          </w:tcPr>
          <w:p>
            <w:pPr>
              <w:pStyle w:val="6"/>
              <w:keepNext w:val="0"/>
              <w:keepLines w:val="0"/>
              <w:widowControl/>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eastAsiaTheme="minorEastAsia" w:cstheme="minorEastAsia"/>
                <w:kern w:val="0"/>
                <w:sz w:val="24"/>
                <w:szCs w:val="24"/>
                <w:highlight w:val="none"/>
                <w:lang w:val="en-US" w:eastAsia="zh-CN" w:bidi="ar-SA"/>
              </w:rPr>
            </w:pPr>
            <w:r>
              <w:rPr>
                <w:rFonts w:hint="eastAsia" w:asciiTheme="minorEastAsia" w:hAnsiTheme="minorEastAsia" w:eastAsiaTheme="minorEastAsia" w:cstheme="minorEastAsia"/>
                <w:kern w:val="2"/>
                <w:sz w:val="24"/>
                <w:szCs w:val="24"/>
                <w:highlight w:val="none"/>
                <w:lang w:val="en-US" w:eastAsia="zh-CN" w:bidi="ar"/>
              </w:rPr>
              <w:t>≥28</w:t>
            </w:r>
          </w:p>
        </w:tc>
        <w:tc>
          <w:tcPr>
            <w:tcW w:w="1125" w:type="dxa"/>
            <w:tcBorders>
              <w:top w:val="single" w:color="auto" w:sz="4" w:space="0"/>
              <w:left w:val="nil"/>
              <w:bottom w:val="single" w:color="auto" w:sz="4" w:space="0"/>
              <w:right w:val="single" w:color="auto" w:sz="4" w:space="0"/>
            </w:tcBorders>
            <w:noWrap w:val="0"/>
            <w:vAlign w:val="center"/>
          </w:tcPr>
          <w:p>
            <w:pPr>
              <w:pStyle w:val="6"/>
              <w:keepNext w:val="0"/>
              <w:keepLines w:val="0"/>
              <w:widowControl/>
              <w:suppressLineNumbers w:val="0"/>
              <w:autoSpaceDE w:val="0"/>
              <w:autoSpaceDN w:val="0"/>
              <w:adjustRightInd w:val="0"/>
              <w:spacing w:before="0" w:beforeAutospacing="0" w:after="0" w:afterAutospacing="0"/>
              <w:ind w:left="0" w:leftChars="0" w:right="0" w:rightChars="0"/>
              <w:jc w:val="center"/>
              <w:rPr>
                <w:rFonts w:hint="eastAsia" w:asciiTheme="minorEastAsia" w:hAnsiTheme="minorEastAsia" w:eastAsiaTheme="minorEastAsia" w:cstheme="minorEastAsia"/>
                <w:kern w:val="0"/>
                <w:sz w:val="24"/>
                <w:szCs w:val="24"/>
                <w:highlight w:val="none"/>
                <w:lang w:val="en-US" w:eastAsia="zh-CN" w:bidi="ar-SA"/>
              </w:rPr>
            </w:pPr>
            <w:r>
              <w:rPr>
                <w:rFonts w:hint="eastAsia" w:asciiTheme="minorEastAsia" w:hAnsiTheme="minorEastAsia" w:eastAsiaTheme="minorEastAsia" w:cstheme="minorEastAsia"/>
                <w:kern w:val="2"/>
                <w:sz w:val="24"/>
                <w:szCs w:val="24"/>
                <w:highlight w:val="none"/>
                <w:lang w:val="en-US" w:eastAsia="zh-CN" w:bidi="ar"/>
              </w:rPr>
              <w:t>≥22</w:t>
            </w:r>
          </w:p>
        </w:tc>
        <w:tc>
          <w:tcPr>
            <w:tcW w:w="2230" w:type="dxa"/>
            <w:tcBorders>
              <w:top w:val="single" w:color="auto" w:sz="4" w:space="0"/>
              <w:left w:val="nil"/>
              <w:bottom w:val="single" w:color="auto" w:sz="4" w:space="0"/>
              <w:right w:val="single" w:color="auto" w:sz="4" w:space="0"/>
            </w:tcBorders>
            <w:noWrap w:val="0"/>
            <w:vAlign w:val="center"/>
          </w:tcPr>
          <w:p>
            <w:pPr>
              <w:pStyle w:val="6"/>
              <w:keepNext w:val="0"/>
              <w:keepLines w:val="0"/>
              <w:widowControl/>
              <w:suppressLineNumbers w:val="0"/>
              <w:autoSpaceDE w:val="0"/>
              <w:autoSpaceDN w:val="0"/>
              <w:adjustRightInd w:val="0"/>
              <w:spacing w:before="0" w:beforeAutospacing="0" w:after="0" w:afterAutospacing="0"/>
              <w:ind w:left="0" w:right="0"/>
              <w:jc w:val="center"/>
              <w:rPr>
                <w:rFonts w:hint="eastAsia" w:asciiTheme="minorEastAsia" w:hAnsiTheme="minorEastAsia" w:eastAsiaTheme="minorEastAsia" w:cstheme="minorEastAsia"/>
                <w:kern w:val="2"/>
                <w:sz w:val="24"/>
                <w:szCs w:val="24"/>
                <w:highlight w:val="none"/>
                <w:lang w:val="en-US" w:eastAsia="zh-CN" w:bidi="ar"/>
              </w:rPr>
            </w:pPr>
            <w:r>
              <w:rPr>
                <w:rFonts w:hint="eastAsia" w:asciiTheme="minorEastAsia" w:hAnsiTheme="minorEastAsia" w:eastAsiaTheme="minorEastAsia" w:cstheme="minorEastAsia"/>
                <w:kern w:val="2"/>
                <w:sz w:val="24"/>
                <w:szCs w:val="24"/>
                <w:highlight w:val="none"/>
                <w:lang w:val="en-US" w:eastAsia="zh-CN" w:bidi="ar"/>
              </w:rPr>
              <w:t>≥109（</w:t>
            </w:r>
            <w:r>
              <w:rPr>
                <w:rFonts w:hint="eastAsia" w:ascii="宋体" w:hAnsi="宋体" w:eastAsia="宋体" w:cs="宋体"/>
                <w:kern w:val="2"/>
                <w:sz w:val="24"/>
                <w:szCs w:val="24"/>
                <w:highlight w:val="none"/>
                <w:lang w:val="en-US" w:eastAsia="zh-CN" w:bidi="ar"/>
              </w:rPr>
              <w:t>含3名白蚁防治或病媒生物防治或有害生物防制人员</w:t>
            </w:r>
            <w:r>
              <w:rPr>
                <w:rFonts w:hint="eastAsia" w:asciiTheme="minorEastAsia" w:hAnsiTheme="minorEastAsia" w:eastAsiaTheme="minorEastAsia" w:cstheme="minorEastAsia"/>
                <w:kern w:val="2"/>
                <w:sz w:val="24"/>
                <w:szCs w:val="24"/>
                <w:highlight w:val="none"/>
                <w:lang w:val="en-US" w:eastAsia="zh-CN" w:bidi="ar"/>
              </w:rPr>
              <w:t>）</w:t>
            </w:r>
          </w:p>
        </w:tc>
      </w:tr>
    </w:tbl>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1、表中的人力配备为最低配置，中标供应商需根据实际工作需要增配人员（但费用包含在投标报价内）。</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2、公园安全巡查员将按照公园现场实际要求合理分配岗位区域。公园现场设18个安全巡查岗（54人,每个公园各含一名班长），每天值班按三班制，每班按8小时/岗。</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3、采购人提供给驻场主管办公场地和水源接驳口，绿化养护、清洁等使用产生水电费用由中标供应商负责每季度向采购人缴纳。</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4、中标供应商需按国家文件规定，给所有员工购买社保及一切相关保险；上述保险需由采购人监督购买，并将相关资料送采购人备案。</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5、各项目人员的职责和要求，由采购人和中标供应商共同制定并严格执行。</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Theme="minorEastAsia" w:hAnsiTheme="minorEastAsia" w:eastAsiaTheme="minorEastAsia" w:cstheme="minorEastAsia"/>
          <w:b/>
          <w:bCs w:val="0"/>
          <w:sz w:val="24"/>
          <w:szCs w:val="24"/>
          <w:highlight w:val="none"/>
          <w:lang w:val="en-US"/>
        </w:rPr>
      </w:pPr>
      <w:r>
        <w:rPr>
          <w:rFonts w:hint="eastAsia" w:asciiTheme="minorEastAsia" w:hAnsiTheme="minorEastAsia" w:eastAsiaTheme="minorEastAsia" w:cstheme="minorEastAsia"/>
          <w:b/>
          <w:bCs w:val="0"/>
          <w:kern w:val="2"/>
          <w:sz w:val="24"/>
          <w:szCs w:val="24"/>
          <w:highlight w:val="none"/>
          <w:lang w:val="en-US" w:eastAsia="zh-CN" w:bidi="ar"/>
        </w:rPr>
        <w:t>（六）工作人员待遇要求</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1、中标供应商应按照《中华人民共和国劳动法》的相关规定发放工资，服务人员工资不得低于广州市企业职工最低工资标准（工资不含按国家规定供应商必须支付的社会保险及其他应付费用）。</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2、中标供应商应按照《中华人民共和国社会保险法》和《住房公积金管理条例》的相关规定，为服务人员支付国家规定必须购买的社会保险费用（基本养老保险、基本医疗保险、工伤保险、失业保险、生育保险）和缴存住房公积金。</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3、中标供应商还需为派驻本项目的服务人员购买意外险，确保服务人员在作业期间遇到伤亡事故得到保障。</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4、如因用工引起的劳动纠纷问题由中标供应商负责解决。</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5、如中标供应商不予执行以上所有条款，则视为违约。</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Theme="minorEastAsia" w:hAnsiTheme="minorEastAsia" w:eastAsiaTheme="minorEastAsia" w:cstheme="minorEastAsia"/>
          <w:b/>
          <w:bCs w:val="0"/>
          <w:sz w:val="24"/>
          <w:szCs w:val="24"/>
          <w:highlight w:val="none"/>
          <w:lang w:val="en-US"/>
        </w:rPr>
      </w:pPr>
      <w:r>
        <w:rPr>
          <w:rFonts w:hint="eastAsia" w:asciiTheme="minorEastAsia" w:hAnsiTheme="minorEastAsia" w:eastAsiaTheme="minorEastAsia" w:cstheme="minorEastAsia"/>
          <w:b/>
          <w:bCs w:val="0"/>
          <w:kern w:val="2"/>
          <w:sz w:val="24"/>
          <w:szCs w:val="24"/>
          <w:highlight w:val="none"/>
          <w:lang w:val="en-US" w:eastAsia="zh-CN" w:bidi="ar"/>
        </w:rPr>
        <w:t>（七）其它要求</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1、中标供应商必须保证派驻各岗位工作人员的稳定性，如有工作人员调离，需书面通知采购人并得到批准。</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bidi="ar"/>
        </w:rPr>
      </w:pPr>
      <w:r>
        <w:rPr>
          <w:rFonts w:hint="eastAsia" w:asciiTheme="minorEastAsia" w:hAnsiTheme="minorEastAsia" w:eastAsiaTheme="minorEastAsia" w:cstheme="minorEastAsia"/>
          <w:kern w:val="2"/>
          <w:sz w:val="24"/>
          <w:szCs w:val="24"/>
          <w:highlight w:val="none"/>
          <w:lang w:val="en-US" w:eastAsia="zh-CN" w:bidi="ar"/>
        </w:rPr>
        <w:t>2、在合同服务期内，如因工作人员的失职而导致的财产失窃，中标供应商应承担赔偿责任。由于中标供应商责任造成采购人工作人员人身伤亡和财产损失的，由中标供应商负责赔偿。中标供应商的工作人员在采购人单位发生违法、违规行为的，所造成一切后果及损失，由中标供应商承担责任和负责赔偿。</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bidi="ar"/>
        </w:rPr>
      </w:pPr>
      <w:r>
        <w:rPr>
          <w:rFonts w:hint="eastAsia" w:asciiTheme="minorEastAsia" w:hAnsiTheme="minorEastAsia" w:eastAsiaTheme="minorEastAsia" w:cstheme="minorEastAsia"/>
          <w:kern w:val="2"/>
          <w:sz w:val="24"/>
          <w:szCs w:val="24"/>
          <w:highlight w:val="none"/>
          <w:lang w:val="en-US" w:eastAsia="zh-CN" w:bidi="ar"/>
        </w:rPr>
        <w:t>3、中标供应商不得整体转包或分包项目内容，否则采购人有权取消中标供应商中标资</w:t>
      </w:r>
      <w:bookmarkStart w:id="3" w:name="_GoBack"/>
      <w:bookmarkEnd w:id="3"/>
      <w:r>
        <w:rPr>
          <w:rFonts w:hint="eastAsia" w:asciiTheme="minorEastAsia" w:hAnsiTheme="minorEastAsia" w:eastAsiaTheme="minorEastAsia" w:cstheme="minorEastAsia"/>
          <w:kern w:val="2"/>
          <w:sz w:val="24"/>
          <w:szCs w:val="24"/>
          <w:highlight w:val="none"/>
          <w:lang w:val="en-US" w:eastAsia="zh-CN" w:bidi="ar"/>
        </w:rPr>
        <w:t>格，中标供应商应按采购人的通知无条件退场，并无权要求采购人结算、支付相关服务费。</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bidi="ar"/>
        </w:rPr>
      </w:pPr>
      <w:r>
        <w:rPr>
          <w:rFonts w:hint="eastAsia" w:asciiTheme="minorEastAsia" w:hAnsiTheme="minorEastAsia" w:eastAsiaTheme="minorEastAsia" w:cstheme="minorEastAsia"/>
          <w:kern w:val="2"/>
          <w:sz w:val="24"/>
          <w:szCs w:val="24"/>
          <w:highlight w:val="none"/>
          <w:lang w:val="en-US" w:eastAsia="zh-CN" w:bidi="ar"/>
        </w:rPr>
        <w:t>4、未经采购人同意，中标供应商不得对公园内的设施及布置作变更。</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5、现场服务的管理构架必须完整，管理构架必须胜任采购人日常管理需要。</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6、中标供应商在做好本职工作的同时，有责任向采购人提供合理化建议，以提高管理效率和管理质量。</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7、中标供应商使用的工具、器材、消耗品等相关用品必须符合国家相关安全标准，须在指定地点整齐摆放，农药、化肥和刀具等带有危险性的物品要妥善保存并告知采购人，禁止在公园范围内存放违禁品。</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8、中标供应商必须按招标文件的服务需求与采购人签订合同。中标供应商违反合同规定的事项，采购人进行书面有效投诉，视作中标供应商违约。采购人有权向中标供应商主张违约金，违约金在合同款额中扣除。</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9、中标供应商必须向采购人提供服务管理方案并报采购人备案（详细的公园安全巡查服务方案、绿化养护服务方案、白蚁防治方案，包括工作思路、人员配备、公园布防安排、工作措施、处置预案、队伍建设、工作规范、人员稳定措施、监管措施与奖惩办法等相关管理制度），经审核合格后方可实施。</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10、中标供应商管理人员事前应与采购人保持沟通并服从采购人的日常管理和工作安排，遇到突发性工作要无偿配合公园做好突击性任务。在不影响中标供应商工作情况下，采购人可安排中标供应商人员支援采购人其他工作。</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11、中标供应商应具备利用自身资源满足临时应急抽调（平均每月不超过2次）含绿化养护、公园安全巡查、综合维护人员等人员一次性不少于10人的调遣能力。</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bidi="ar"/>
        </w:rPr>
      </w:pPr>
      <w:r>
        <w:rPr>
          <w:rFonts w:hint="eastAsia" w:asciiTheme="minorEastAsia" w:hAnsiTheme="minorEastAsia" w:eastAsiaTheme="minorEastAsia" w:cstheme="minorEastAsia"/>
          <w:kern w:val="2"/>
          <w:sz w:val="24"/>
          <w:szCs w:val="24"/>
          <w:highlight w:val="none"/>
          <w:lang w:val="en-US" w:eastAsia="zh-CN" w:bidi="ar"/>
        </w:rPr>
        <w:t>12、重大节假日期间（如元旦、春节、元宵、清明、中秋、国庆、重阳等节日），中标供应商须服从采购人工作安排，如：组织全体人员参加园内及山上节日绿化或清洁支援等工作。节假日的加班，中标供应商必须按有关法律法规给员工发放加班费；若因加班费发放不足而引起劳资纠纷，由中标供应商负责解决。</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bidi="ar"/>
        </w:rPr>
      </w:pPr>
      <w:r>
        <w:rPr>
          <w:rFonts w:hint="eastAsia" w:asciiTheme="minorEastAsia" w:hAnsiTheme="minorEastAsia" w:eastAsiaTheme="minorEastAsia" w:cstheme="minorEastAsia"/>
          <w:kern w:val="2"/>
          <w:sz w:val="24"/>
          <w:szCs w:val="24"/>
          <w:highlight w:val="none"/>
          <w:lang w:val="en-US" w:eastAsia="zh-CN" w:bidi="ar"/>
        </w:rPr>
        <w:t>13、服务期满中标供应商未能继续获得采购人新的服务时，中标供应商要积极配合与下一服务单位交接，不得以任何方式阻碍交接，影响采购人正常工作。最后一个月的服务费用留待交接完后再支付，中标供应商不配合或以任何方式阻碍和影响采购人进行交接工作的，采购人有权不支付最后一个月的服务费用。</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14、年终验收方式：每年必须提供年终服务报告，并参照每类服务《公园管理检评考核表》两方对现场进行考核验收。在检查中如被扣分，采购人按相应分值直接扣减中标供应商服务费，按每分100元计算。</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kern w:val="2"/>
          <w:sz w:val="24"/>
          <w:szCs w:val="24"/>
          <w:highlight w:val="none"/>
          <w:lang w:val="en-US" w:eastAsia="zh-CN" w:bidi="ar"/>
        </w:rPr>
      </w:pPr>
      <w:r>
        <w:rPr>
          <w:rFonts w:hint="eastAsia" w:asciiTheme="minorEastAsia" w:hAnsiTheme="minorEastAsia" w:eastAsiaTheme="minorEastAsia" w:cstheme="minorEastAsia"/>
          <w:kern w:val="2"/>
          <w:sz w:val="24"/>
          <w:szCs w:val="24"/>
          <w:highlight w:val="none"/>
          <w:lang w:val="en-US" w:eastAsia="zh-CN" w:bidi="ar"/>
        </w:rPr>
        <w:t>15、月度工作评价表和《考勤表》及作业人员现场签名单，经采购人签认后作为结算服务费的依据之一。</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kern w:val="2"/>
          <w:sz w:val="24"/>
          <w:szCs w:val="24"/>
          <w:highlight w:val="none"/>
          <w:lang w:val="en-US" w:eastAsia="zh-CN" w:bidi="ar"/>
        </w:rPr>
      </w:pPr>
      <w:r>
        <w:rPr>
          <w:rFonts w:hint="eastAsia" w:asciiTheme="minorEastAsia" w:hAnsiTheme="minorEastAsia" w:eastAsiaTheme="minorEastAsia" w:cstheme="minorEastAsia"/>
          <w:kern w:val="2"/>
          <w:sz w:val="24"/>
          <w:szCs w:val="24"/>
          <w:highlight w:val="none"/>
          <w:lang w:val="en-US" w:eastAsia="zh-CN" w:bidi="ar"/>
        </w:rPr>
        <w:t>16、严禁中标供应商私自携带采购人的物品或其他任何不属于中标供应商的物品带离园区，并需配合采购人的检查，如有违反，采购人将按公园管理规定，作出相应的处罚。</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Theme="minorEastAsia" w:hAnsiTheme="minorEastAsia" w:eastAsiaTheme="minorEastAsia" w:cstheme="minorEastAsia"/>
          <w:b/>
          <w:bCs w:val="0"/>
          <w:kern w:val="2"/>
          <w:sz w:val="24"/>
          <w:szCs w:val="24"/>
          <w:highlight w:val="none"/>
          <w:lang w:val="en-US" w:eastAsia="zh-CN" w:bidi="ar"/>
        </w:rPr>
      </w:pPr>
      <w:r>
        <w:rPr>
          <w:rFonts w:hint="eastAsia" w:asciiTheme="minorEastAsia" w:hAnsiTheme="minorEastAsia" w:eastAsiaTheme="minorEastAsia" w:cstheme="minorEastAsia"/>
          <w:b/>
          <w:bCs w:val="0"/>
          <w:kern w:val="2"/>
          <w:sz w:val="24"/>
          <w:szCs w:val="24"/>
          <w:highlight w:val="none"/>
          <w:lang w:val="en-US" w:eastAsia="zh-CN" w:bidi="ar"/>
        </w:rPr>
        <w:t>三、服务内容及要求</w:t>
      </w:r>
    </w:p>
    <w:p>
      <w:pPr>
        <w:spacing w:line="360" w:lineRule="auto"/>
        <w:ind w:firstLine="480" w:firstLineChars="200"/>
        <w:rPr>
          <w:rFonts w:hint="eastAsia" w:asciiTheme="minorEastAsia" w:hAnsiTheme="minorEastAsia" w:eastAsiaTheme="minorEastAsia" w:cstheme="minorEastAsia"/>
          <w:highlight w:val="none"/>
          <w:lang w:val="en-US"/>
        </w:rPr>
      </w:pPr>
      <w:r>
        <w:rPr>
          <w:rFonts w:hint="eastAsia" w:asciiTheme="minorEastAsia" w:hAnsiTheme="minorEastAsia" w:eastAsiaTheme="minorEastAsia" w:cstheme="minorEastAsia"/>
          <w:sz w:val="24"/>
          <w:highlight w:val="none"/>
        </w:rPr>
        <w:t>参照《广州市公园条例》、《广州市公园管理规范》、广州市</w:t>
      </w:r>
      <w:r>
        <w:rPr>
          <w:rFonts w:hint="eastAsia" w:asciiTheme="minorEastAsia" w:hAnsiTheme="minorEastAsia" w:eastAsiaTheme="minorEastAsia" w:cstheme="minorEastAsia"/>
          <w:kern w:val="2"/>
          <w:sz w:val="24"/>
          <w:szCs w:val="24"/>
          <w:highlight w:val="none"/>
          <w:lang w:val="en-US" w:eastAsia="zh-CN" w:bidi="ar"/>
        </w:rPr>
        <w:t>《园林绿地养护管理技术规范》</w:t>
      </w:r>
      <w:r>
        <w:rPr>
          <w:rFonts w:hint="eastAsia" w:asciiTheme="minorEastAsia" w:hAnsiTheme="minorEastAsia" w:eastAsiaTheme="minorEastAsia" w:cstheme="minorEastAsia"/>
          <w:sz w:val="24"/>
          <w:highlight w:val="none"/>
        </w:rPr>
        <w:t>、《广州开发区建设局 黄埔区住房和建设局园林绿化工作管理制度》和国家及地方颁布的法律、法规、相关标准及规范的要求，同时还要符合如下作业要求：</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Theme="minorEastAsia" w:hAnsiTheme="minorEastAsia" w:eastAsiaTheme="minorEastAsia" w:cstheme="minorEastAsia"/>
          <w:b/>
          <w:bCs w:val="0"/>
          <w:sz w:val="24"/>
          <w:szCs w:val="24"/>
          <w:highlight w:val="none"/>
          <w:lang w:val="en-US"/>
        </w:rPr>
      </w:pPr>
      <w:r>
        <w:rPr>
          <w:rFonts w:hint="eastAsia" w:asciiTheme="minorEastAsia" w:hAnsiTheme="minorEastAsia" w:eastAsiaTheme="minorEastAsia" w:cstheme="minorEastAsia"/>
          <w:b/>
          <w:bCs w:val="0"/>
          <w:kern w:val="2"/>
          <w:sz w:val="24"/>
          <w:szCs w:val="24"/>
          <w:highlight w:val="none"/>
          <w:lang w:val="en-US" w:eastAsia="zh-CN" w:bidi="ar"/>
        </w:rPr>
        <w:t>（一）公园安全巡查工作</w:t>
      </w:r>
    </w:p>
    <w:p>
      <w:pPr>
        <w:pStyle w:val="6"/>
        <w:keepNext w:val="0"/>
        <w:keepLines w:val="0"/>
        <w:widowControl/>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0"/>
          <w:sz w:val="24"/>
          <w:szCs w:val="24"/>
          <w:highlight w:val="none"/>
          <w:lang w:val="en-US" w:eastAsia="zh-CN" w:bidi="ar"/>
        </w:rPr>
        <w:t>1、公园安全巡查员须对公园实行24小时设岗值班，</w:t>
      </w:r>
      <w:r>
        <w:rPr>
          <w:rFonts w:hint="eastAsia" w:asciiTheme="minorEastAsia" w:hAnsiTheme="minorEastAsia" w:eastAsiaTheme="minorEastAsia" w:cstheme="minorEastAsia"/>
          <w:color w:val="000000"/>
          <w:kern w:val="0"/>
          <w:sz w:val="24"/>
          <w:szCs w:val="24"/>
          <w:highlight w:val="none"/>
          <w:lang w:val="en-US" w:eastAsia="zh-CN" w:bidi="ar"/>
        </w:rPr>
        <w:t>采取固定站岗和机动巡查相结合的方式。</w:t>
      </w:r>
      <w:r>
        <w:rPr>
          <w:rFonts w:hint="eastAsia" w:asciiTheme="minorEastAsia" w:hAnsiTheme="minorEastAsia" w:eastAsiaTheme="minorEastAsia" w:cstheme="minorEastAsia"/>
          <w:kern w:val="0"/>
          <w:sz w:val="24"/>
          <w:szCs w:val="24"/>
          <w:highlight w:val="none"/>
          <w:lang w:val="en-US" w:eastAsia="zh-CN" w:bidi="ar"/>
        </w:rPr>
        <w:t>严格按照采购人要求每岗24小时出勤值班，中标供应商必须保证公园安全巡查员每周每人工作时间不超40小时，超出部分时间由中标供应商严格按照国家标准支付相应加班费，服务期内发生的各种事故。如，劳资纠纷事件等，均由中标供应商承担相应责任。</w:t>
      </w:r>
    </w:p>
    <w:p>
      <w:pPr>
        <w:pStyle w:val="6"/>
        <w:keepNext w:val="0"/>
        <w:keepLines w:val="0"/>
        <w:widowControl/>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0"/>
          <w:sz w:val="24"/>
          <w:szCs w:val="24"/>
          <w:highlight w:val="none"/>
          <w:lang w:val="en-US" w:eastAsia="zh-CN" w:bidi="ar"/>
        </w:rPr>
        <w:t>2、安全</w:t>
      </w:r>
      <w:r>
        <w:rPr>
          <w:rFonts w:hint="eastAsia" w:asciiTheme="minorEastAsia" w:hAnsiTheme="minorEastAsia" w:eastAsiaTheme="minorEastAsia" w:cstheme="minorEastAsia"/>
          <w:kern w:val="28"/>
          <w:sz w:val="24"/>
          <w:szCs w:val="24"/>
          <w:highlight w:val="none"/>
          <w:lang w:val="en-US" w:eastAsia="zh-CN" w:bidi="ar"/>
        </w:rPr>
        <w:t>巡查员须熟悉服务区域的业务管理知识，中标供应商可提前与采购人协商培训事宜。应指派专职人员进行工作接洽和日常工作管理，并派员对安全巡查员进行经常性的检查督促及教育培训。</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3、中标供应商提供的公园安全巡查员必须文明上岗，穿着统一工作服，佩戴工号牌，当值期间不得串岗、聊天或做私人工作。如在采购人日常巡查抽检中发现当值公园安全巡查员存在打磕睡、睡觉、玩手机、聊天等现象，每次以书面进行通报。</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4、中标供应商必须维护公园内治安秩序，维持广场、园内园路秩序。做好每月保安考勤统计、做好交接班工作及上报每周人员工作安排、做好日常公共设施巡查记录。重点保护公园广场、办公楼、园内单体建筑物、公共设施、园内景区、停车场等重要场所的安全秩序和环境卫生，实际根据采购人现场负责人安排。</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5、确保公园内治安及秩序正常，当工作人员或公众生命财产受到威胁，公园安全巡查员要立即到达现场，并采取积极措施及时处理并上报有关领导部门，如因处理事件不及时造成事故，一切责任由中标供应商负责。</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6、严防盗抢、破坏事件发生。失窃、破坏物品属园内财产，价值1000元以下事件，每宗扣罚当月所在公园服务费的2%；失窃、破坏物品价值1000元-5000元每宗扣罚所在公园当月服务费的5%；失窃、破坏物品价值5000元-10000元每宗扣罚所在公园当月服务费的8%；失窃、破坏物品价值10000元以上（含10000元）每宗扣罚当月所在公园服务费的15%。如2个月内累计失窃、破坏物品价值超过5万（或单次失窃、破坏物品价值超过3万），采购人在扣罚服务费的同时可对中标供应商给予书面警告，一年服务期内书面警告超过3次（含3次），采购人有权无条件终止合同。</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7、中标供应商须对公园内通讯线路、供电线路、供水管道、沙井、水池等公共设施护卫，做好安全巡查记录。根据安全巡查结果，对需要维修或更新改造项目，应及时以书面形式向公园现场办公室提出建议，由采购人安排整修。</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8、负责日常的消防安全检查，配合制定火灾紧急处置预案，发现火灾隐患及时提出整改意见；协助做好消防设备的定期检查工作、确保消防系统畅通，预防、处理突发消防事故。</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9、中标供应商派驻公园安全巡查员必须遵守公园内的各项规章制度和</w:t>
      </w:r>
      <w:r>
        <w:rPr>
          <w:rFonts w:hint="eastAsia" w:asciiTheme="minorEastAsia" w:hAnsiTheme="minorEastAsia" w:eastAsiaTheme="minorEastAsia" w:cstheme="minorEastAsia"/>
          <w:color w:val="000000"/>
          <w:kern w:val="2"/>
          <w:sz w:val="24"/>
          <w:szCs w:val="24"/>
          <w:highlight w:val="none"/>
          <w:lang w:val="en-US" w:eastAsia="zh-CN" w:bidi="ar"/>
        </w:rPr>
        <w:t>严格遵守采购人的有关机密和保密要求</w:t>
      </w:r>
      <w:r>
        <w:rPr>
          <w:rFonts w:hint="eastAsia" w:asciiTheme="minorEastAsia" w:hAnsiTheme="minorEastAsia" w:eastAsiaTheme="minorEastAsia" w:cstheme="minorEastAsia"/>
          <w:kern w:val="2"/>
          <w:sz w:val="24"/>
          <w:szCs w:val="24"/>
          <w:highlight w:val="none"/>
          <w:lang w:val="en-US" w:eastAsia="zh-CN" w:bidi="ar"/>
        </w:rPr>
        <w:t>，按照有关规定进行联防工作，并接受公园现场公园办公室人员监督、检查。按照相关规定做好公园区域内的防火、防盗、防爆炸、防治安灾害事故等安全防范工作。</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10、采购人在单位内举办大型活动、会议、重要接待任务时，根据采购人的具体要求，中标供应商应积极配合，适当增加人员协助活动场地和会议场所的准备和保卫工作，以及活动后的清场、清洁工作。原则上合同服务期内采购人可要求中标供应商义务提供20个工作日的协助服务。</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11、中标供应商由于自身管理不善受政府部门处罚或由于中标供应商安保措施不力，违反安全操</w:t>
      </w:r>
      <w:r>
        <w:rPr>
          <w:rFonts w:hint="eastAsia" w:asciiTheme="minorEastAsia" w:hAnsiTheme="minorEastAsia" w:eastAsiaTheme="minorEastAsia" w:cstheme="minorEastAsia"/>
          <w:kern w:val="28"/>
          <w:sz w:val="24"/>
          <w:szCs w:val="24"/>
          <w:highlight w:val="none"/>
          <w:lang w:val="en-US" w:eastAsia="zh-CN" w:bidi="ar"/>
        </w:rPr>
        <w:t>作规程致工伤或事故等，采购人有权迟缓支付服务费及追究责任的权利。</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Theme="minorEastAsia" w:hAnsiTheme="minorEastAsia" w:eastAsiaTheme="minorEastAsia" w:cstheme="minorEastAsia"/>
          <w:b/>
          <w:bCs w:val="0"/>
          <w:sz w:val="24"/>
          <w:szCs w:val="24"/>
          <w:highlight w:val="none"/>
          <w:lang w:val="en-US"/>
        </w:rPr>
      </w:pPr>
      <w:r>
        <w:rPr>
          <w:rFonts w:hint="eastAsia" w:asciiTheme="minorEastAsia" w:hAnsiTheme="minorEastAsia" w:eastAsiaTheme="minorEastAsia" w:cstheme="minorEastAsia"/>
          <w:b/>
          <w:bCs w:val="0"/>
          <w:kern w:val="2"/>
          <w:sz w:val="24"/>
          <w:szCs w:val="24"/>
          <w:highlight w:val="none"/>
          <w:lang w:val="en-US" w:eastAsia="zh-CN" w:bidi="ar"/>
        </w:rPr>
        <w:t>（二）绿化养护工作</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highlight w:val="none"/>
          <w:lang w:val="en-US" w:eastAsia="zh-CN"/>
        </w:rPr>
      </w:pPr>
      <w:r>
        <w:rPr>
          <w:rFonts w:hint="eastAsia" w:asciiTheme="minorEastAsia" w:hAnsiTheme="minorEastAsia" w:eastAsiaTheme="minorEastAsia" w:cstheme="minorEastAsia"/>
          <w:kern w:val="2"/>
          <w:sz w:val="24"/>
          <w:szCs w:val="24"/>
          <w:highlight w:val="none"/>
          <w:lang w:val="en-US" w:eastAsia="zh-CN" w:bidi="ar"/>
        </w:rPr>
        <w:t>1、</w:t>
      </w:r>
      <w:r>
        <w:rPr>
          <w:rFonts w:hint="eastAsia" w:asciiTheme="minorEastAsia" w:hAnsiTheme="minorEastAsia" w:eastAsiaTheme="minorEastAsia" w:cstheme="minorEastAsia"/>
          <w:sz w:val="24"/>
          <w:highlight w:val="none"/>
        </w:rPr>
        <w:t>黄埔公园、荔枝公园绿化养护质量要求</w:t>
      </w:r>
      <w:r>
        <w:rPr>
          <w:rFonts w:hint="eastAsia" w:asciiTheme="minorEastAsia" w:hAnsiTheme="minorEastAsia" w:eastAsiaTheme="minorEastAsia" w:cstheme="minorEastAsia"/>
          <w:color w:val="auto"/>
          <w:sz w:val="24"/>
          <w:highlight w:val="none"/>
        </w:rPr>
        <w:t>参照</w:t>
      </w:r>
      <w:r>
        <w:rPr>
          <w:rFonts w:hint="eastAsia" w:asciiTheme="minorEastAsia" w:hAnsiTheme="minorEastAsia" w:eastAsiaTheme="minorEastAsia" w:cstheme="minorEastAsia"/>
          <w:kern w:val="2"/>
          <w:sz w:val="24"/>
          <w:szCs w:val="24"/>
          <w:highlight w:val="none"/>
          <w:lang w:val="en-US" w:eastAsia="zh-CN" w:bidi="ar"/>
        </w:rPr>
        <w:t>广州市林业和园林局发布的《园林绿地养护管理技术规范》一级标准</w:t>
      </w:r>
      <w:r>
        <w:rPr>
          <w:rFonts w:hint="eastAsia" w:asciiTheme="minorEastAsia" w:hAnsiTheme="minorEastAsia" w:eastAsiaTheme="minorEastAsia" w:cstheme="minorEastAsia"/>
          <w:sz w:val="24"/>
          <w:highlight w:val="none"/>
        </w:rPr>
        <w:t>，秦岭公园、文园山公园</w:t>
      </w:r>
      <w:r>
        <w:rPr>
          <w:rFonts w:hint="eastAsia" w:asciiTheme="minorEastAsia" w:hAnsiTheme="minorEastAsia" w:eastAsiaTheme="minorEastAsia" w:cstheme="minorEastAsia"/>
          <w:sz w:val="24"/>
          <w:highlight w:val="none"/>
          <w:lang w:eastAsia="zh-CN"/>
        </w:rPr>
        <w:t>、牛山炮台公园</w:t>
      </w:r>
      <w:r>
        <w:rPr>
          <w:rFonts w:hint="eastAsia" w:asciiTheme="minorEastAsia" w:hAnsiTheme="minorEastAsia" w:eastAsiaTheme="minorEastAsia" w:cstheme="minorEastAsia"/>
          <w:sz w:val="24"/>
          <w:highlight w:val="none"/>
        </w:rPr>
        <w:t>绿化养护质量要求</w:t>
      </w:r>
      <w:r>
        <w:rPr>
          <w:rFonts w:hint="eastAsia" w:asciiTheme="minorEastAsia" w:hAnsiTheme="minorEastAsia" w:eastAsiaTheme="minorEastAsia" w:cstheme="minorEastAsia"/>
          <w:color w:val="auto"/>
          <w:sz w:val="24"/>
          <w:highlight w:val="none"/>
        </w:rPr>
        <w:t>参照</w:t>
      </w:r>
      <w:r>
        <w:rPr>
          <w:rFonts w:hint="eastAsia" w:asciiTheme="minorEastAsia" w:hAnsiTheme="minorEastAsia" w:eastAsiaTheme="minorEastAsia" w:cstheme="minorEastAsia"/>
          <w:kern w:val="2"/>
          <w:sz w:val="24"/>
          <w:szCs w:val="24"/>
          <w:highlight w:val="none"/>
          <w:lang w:val="en-US" w:eastAsia="zh-CN" w:bidi="ar"/>
        </w:rPr>
        <w:t>广州市林业和园林局发布的《园林绿地养护管理技术规范</w:t>
      </w:r>
      <w:r>
        <w:rPr>
          <w:rFonts w:hint="eastAsia" w:asciiTheme="minorEastAsia" w:hAnsiTheme="minorEastAsia" w:eastAsiaTheme="minorEastAsia" w:cstheme="minorEastAsia"/>
          <w:sz w:val="24"/>
          <w:highlight w:val="none"/>
          <w:lang w:val="en-US" w:eastAsia="zh-CN"/>
        </w:rPr>
        <w:t>》三级标准</w:t>
      </w:r>
      <w:r>
        <w:rPr>
          <w:rFonts w:hint="eastAsia" w:asciiTheme="minorEastAsia" w:hAnsiTheme="minorEastAsia" w:eastAsiaTheme="minorEastAsia" w:cstheme="minorEastAsia"/>
          <w:sz w:val="24"/>
          <w:highlight w:val="none"/>
        </w:rPr>
        <w:t>管理</w:t>
      </w:r>
      <w:r>
        <w:rPr>
          <w:rFonts w:hint="eastAsia" w:asciiTheme="minorEastAsia" w:hAnsiTheme="minorEastAsia" w:eastAsiaTheme="minorEastAsia" w:cstheme="minorEastAsia"/>
          <w:sz w:val="24"/>
          <w:highlight w:val="none"/>
          <w:lang w:eastAsia="zh-CN"/>
        </w:rPr>
        <w:t>执行</w:t>
      </w:r>
      <w:r>
        <w:rPr>
          <w:rFonts w:hint="eastAsia" w:asciiTheme="minorEastAsia" w:hAnsiTheme="minorEastAsia" w:eastAsiaTheme="minorEastAsia" w:cstheme="minorEastAsia"/>
          <w:sz w:val="24"/>
          <w:highlight w:val="none"/>
          <w:lang w:val="en-US" w:eastAsia="zh-CN"/>
        </w:rPr>
        <w:t>。</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highlight w:val="none"/>
          <w:lang w:val="en-US"/>
        </w:rPr>
      </w:pPr>
      <w:r>
        <w:rPr>
          <w:rFonts w:hint="eastAsia" w:asciiTheme="minorEastAsia" w:hAnsiTheme="minorEastAsia" w:eastAsiaTheme="minorEastAsia" w:cstheme="minorEastAsia"/>
          <w:sz w:val="24"/>
          <w:highlight w:val="none"/>
          <w:lang w:val="en-US" w:eastAsia="zh-CN"/>
        </w:rPr>
        <w:t>2、</w:t>
      </w:r>
      <w:r>
        <w:rPr>
          <w:rFonts w:hint="eastAsia" w:asciiTheme="minorEastAsia" w:hAnsiTheme="minorEastAsia" w:eastAsiaTheme="minorEastAsia" w:cstheme="minorEastAsia"/>
          <w:sz w:val="24"/>
          <w:highlight w:val="none"/>
        </w:rPr>
        <w:t>按照《广州市公园条例》、《绿化养护作业指导书》、《城市园林绿化用植物材料》、《园林种植土质量》和《广州开发区建设局 黄埔区住房和建设局园林绿化工作管理制度》执行。</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sz w:val="24"/>
          <w:highlight w:val="none"/>
          <w:lang w:val="en-US" w:eastAsia="zh-CN"/>
        </w:rPr>
        <w:t>3、在服务范围内因中标供应商养</w:t>
      </w:r>
      <w:r>
        <w:rPr>
          <w:rFonts w:hint="eastAsia" w:asciiTheme="minorEastAsia" w:hAnsiTheme="minorEastAsia" w:eastAsiaTheme="minorEastAsia" w:cstheme="minorEastAsia"/>
          <w:kern w:val="2"/>
          <w:sz w:val="24"/>
          <w:szCs w:val="24"/>
          <w:highlight w:val="none"/>
          <w:lang w:val="en-US" w:eastAsia="zh-CN" w:bidi="ar"/>
        </w:rPr>
        <w:t>护管理不力造成植物生长势差或死亡的苗木及种植（含时花老化）由中标供应商负责更换，不另行追加服务费。</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4、在服务范围内新增或换种的、或因游客零星破坏的及造成裸露的，由中标供应商负责养护管理，不另行追加服务费。</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5、绿化保养用的一切物料包括园林机具、农药、肥料、新种苗木的支撑等均由中标供应商承担。具体要求如下：</w:t>
      </w:r>
    </w:p>
    <w:p>
      <w:pPr>
        <w:keepNext w:val="0"/>
        <w:keepLines w:val="0"/>
        <w:widowControl/>
        <w:suppressLineNumbers w:val="0"/>
        <w:spacing w:before="0" w:beforeAutospacing="0" w:after="0" w:afterAutospacing="0" w:line="360" w:lineRule="auto"/>
        <w:ind w:left="0" w:right="0" w:firstLine="480" w:firstLineChars="200"/>
        <w:jc w:val="left"/>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（1）中标供应商必须配备草坪打孔机、剪草机、绿篱机、喷药机、油锯、锄头、斗车、水管、枝剪、手套、面罩、汽油、机油等能保障日常绿化养护工作所需的各种器械工具和物料。</w:t>
      </w:r>
    </w:p>
    <w:p>
      <w:pPr>
        <w:keepNext w:val="0"/>
        <w:keepLines w:val="0"/>
        <w:widowControl/>
        <w:suppressLineNumbers w:val="0"/>
        <w:spacing w:before="0" w:beforeAutospacing="0" w:after="0" w:afterAutospacing="0" w:line="360" w:lineRule="auto"/>
        <w:ind w:left="0" w:right="0" w:firstLine="480" w:firstLineChars="200"/>
        <w:jc w:val="left"/>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（2）根据植物的不同需要配备充足的各种肥料、农药，保证植物的良好生长。（视植株生长情况，经现场管理人员诊定需加强施肥、喷药要求，中标供应商无条件满足支持）。</w:t>
      </w:r>
    </w:p>
    <w:p>
      <w:pPr>
        <w:keepNext w:val="0"/>
        <w:keepLines w:val="0"/>
        <w:widowControl/>
        <w:suppressLineNumbers w:val="0"/>
        <w:spacing w:before="0" w:beforeAutospacing="0" w:after="0" w:afterAutospacing="0" w:line="360" w:lineRule="auto"/>
        <w:ind w:left="0" w:right="0" w:firstLine="480" w:firstLineChars="200"/>
        <w:jc w:val="left"/>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（3）服务区域内已有的喷灌系统由中标供应商核点确认后接收使用，管理期内的日常维护修理费用由中标供应商负责。中标供应商必须遵循节约、爱护的原则合理使用，服务期满后，要完好无损地交还采购人。</w:t>
      </w:r>
    </w:p>
    <w:p>
      <w:pPr>
        <w:keepNext w:val="0"/>
        <w:keepLines w:val="0"/>
        <w:widowControl/>
        <w:suppressLineNumbers w:val="0"/>
        <w:spacing w:before="0" w:beforeAutospacing="0" w:after="0" w:afterAutospacing="0" w:line="360" w:lineRule="auto"/>
        <w:ind w:left="0" w:right="0" w:firstLine="480" w:firstLineChars="200"/>
        <w:jc w:val="left"/>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4）采购人提供的工具房只作为中标供应商养护人员午休场所和工具物料保管间，不提供服务人员住宿，合同期满或终止时，中标供应商必须三天内无条件清走工具，将工具房交回采购人；用水用电必须符合采购人管理的有关规定，防火安全及物料保管均由中标供应商负责。</w:t>
      </w:r>
    </w:p>
    <w:p>
      <w:pPr>
        <w:keepNext w:val="0"/>
        <w:keepLines w:val="0"/>
        <w:widowControl/>
        <w:suppressLineNumbers w:val="0"/>
        <w:spacing w:before="0" w:beforeAutospacing="0" w:after="0" w:afterAutospacing="0" w:line="360" w:lineRule="auto"/>
        <w:ind w:left="0" w:right="0" w:firstLine="480" w:firstLineChars="200"/>
        <w:jc w:val="left"/>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（5）工具及物料按要求集中堆放于指定的场地，不得乱堆乱放，不得占用绿地及践踏绿地。</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（6）日常施肥、喷药、修剪、打草、种植过程中标供应商要在明显位置设置温馨告示牌，整改、修剪恢复期要做好有关铭牌提示。</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6、干旱季节每周对园内的乔灌木清洗一次，重大节日或上级部门进行检查前，中标供应商须配合做好清洗工作并负责清洗植物。</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7、中标供应商必须定人定时、定点定岗的方式进行服务范围内的绿化养护工作。如遇任务繁重或特殊气候要求（台风、暴雨、虫害等）需要突击性完成工作任务时，中标供应商应配合采购人工作，并按采购人要求增加人力或延长工作时间以保证工作按质按量按时完成。</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8、中标供应商在养护期间，对园内的乔、灌木进行大的修剪，或对景区景点的整改须告知采购人并征得采购人同意并在采购人的指导下进行。各景点的正常补种或因中标供应商养护不善而造成的植物死亡、长势疲弱的植物换种（补种苗木的规格和原苗木规格一致，植物的换种须经采购人同意），由中标供应商在服务费中解决，采购人不再予以增拨费用。因不可预见（如：特殊寒冷天气、台风、水浸）等原因造成的大量缺损除外。</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9、应急措施：在台风、暴雨期间加强各园区巡查对树木折断、倾倒等及时通知、联动，进行处置，确保绿化正常生长。</w:t>
      </w:r>
    </w:p>
    <w:p>
      <w:pPr>
        <w:spacing w:line="360" w:lineRule="auto"/>
        <w:ind w:firstLine="480" w:firstLineChars="200"/>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10、因中标供应商养护管理措施不力，造成养护质量出现严重问题，如草坪大面积枯萎；乔木、灌木、地被植物非自然灾害而死亡的，中标供应商又不及时补植，且不听从采购人告诫，对采购人景观造成重大不良影响，视为中标供应商违约，采购人有权扣减中标供应商相应服务费或单方面解除合同，并追究中标供应商有关赔偿责任。因不可抗力造成公园植物死亡，设施设备损毁的，由采购人提供苗木、设施设备，中标供应商无偿补植、更换及养护。</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kern w:val="2"/>
          <w:sz w:val="24"/>
          <w:szCs w:val="24"/>
          <w:highlight w:val="none"/>
          <w:lang w:val="en-US" w:eastAsia="zh-CN" w:bidi="ar"/>
        </w:rPr>
      </w:pPr>
      <w:r>
        <w:rPr>
          <w:rFonts w:hint="eastAsia" w:asciiTheme="minorEastAsia" w:hAnsiTheme="minorEastAsia" w:eastAsiaTheme="minorEastAsia" w:cstheme="minorEastAsia"/>
          <w:kern w:val="2"/>
          <w:sz w:val="24"/>
          <w:szCs w:val="24"/>
          <w:highlight w:val="none"/>
          <w:lang w:val="en-US" w:eastAsia="zh-CN" w:bidi="ar"/>
        </w:rPr>
        <w:t>11、服务期内，采购人每天派管理人员对中标供应商工作进行巡查，发现问题后，采购人即时提出修正意见和要求，如缺株、死株的，中标供应商须在采购人指定时间内进行补种，中标供应商管理人员和养护工人应听从采购人的指导要求。情节严重的，采购人发《整改通知书》予中标供应商，中标供应商应在规定的期限内完成整改（因特殊原因不能按时完成的须提前向采购人阐明原因）。</w:t>
      </w:r>
    </w:p>
    <w:p>
      <w:pPr>
        <w:keepNext w:val="0"/>
        <w:keepLines w:val="0"/>
        <w:widowControl w:val="0"/>
        <w:suppressLineNumbers w:val="0"/>
        <w:spacing w:before="0" w:beforeAutospacing="0" w:after="0" w:afterAutospacing="0" w:line="360" w:lineRule="auto"/>
        <w:ind w:right="0" w:firstLine="480" w:firstLineChars="200"/>
        <w:jc w:val="both"/>
        <w:rPr>
          <w:rFonts w:hint="eastAsia" w:asciiTheme="minorEastAsia" w:hAnsiTheme="minorEastAsia" w:eastAsiaTheme="minorEastAsia" w:cstheme="minorEastAsia"/>
          <w:kern w:val="2"/>
          <w:sz w:val="24"/>
          <w:szCs w:val="24"/>
          <w:highlight w:val="none"/>
          <w:lang w:val="en-US" w:eastAsia="zh-CN" w:bidi="ar"/>
        </w:rPr>
      </w:pPr>
      <w:r>
        <w:rPr>
          <w:rFonts w:hint="eastAsia" w:asciiTheme="minorEastAsia" w:hAnsiTheme="minorEastAsia" w:eastAsiaTheme="minorEastAsia" w:cstheme="minorEastAsia"/>
          <w:kern w:val="2"/>
          <w:sz w:val="24"/>
          <w:szCs w:val="24"/>
          <w:highlight w:val="none"/>
          <w:lang w:val="en-US" w:eastAsia="zh-CN" w:bidi="ar"/>
        </w:rPr>
        <w:t>12、维护好园内的绿化宣传牌及绿化设施，保持洁净美观，防止被破坏、盗窃。绿化养护喷淋设施等绿化相关设施由中标供应商负责维修养护和更换。</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kern w:val="2"/>
          <w:sz w:val="24"/>
          <w:szCs w:val="24"/>
          <w:highlight w:val="none"/>
          <w:lang w:val="en-US" w:eastAsia="zh-CN" w:bidi="ar"/>
        </w:rPr>
      </w:pPr>
      <w:r>
        <w:rPr>
          <w:rFonts w:hint="eastAsia" w:asciiTheme="minorEastAsia" w:hAnsiTheme="minorEastAsia" w:eastAsiaTheme="minorEastAsia" w:cstheme="minorEastAsia"/>
          <w:kern w:val="2"/>
          <w:sz w:val="24"/>
          <w:szCs w:val="24"/>
          <w:highlight w:val="none"/>
          <w:lang w:val="en-US" w:eastAsia="zh-CN" w:bidi="ar"/>
        </w:rPr>
        <w:t>13、配合公园节假日花卉（由采购人提供）的布置，摆花期间的淋水养护及节后的清场工作，防止花卉被破坏、盗窃，做好摆设场地的卫生清洁工作。配合公园做好领导视察及各类相关检查时的环境整治工作，必须服从公园安排。</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kern w:val="2"/>
          <w:sz w:val="24"/>
          <w:szCs w:val="24"/>
          <w:highlight w:val="none"/>
          <w:lang w:val="en-US" w:eastAsia="zh-CN" w:bidi="ar"/>
        </w:rPr>
      </w:pPr>
      <w:r>
        <w:rPr>
          <w:rFonts w:hint="eastAsia" w:asciiTheme="minorEastAsia" w:hAnsiTheme="minorEastAsia" w:eastAsiaTheme="minorEastAsia" w:cstheme="minorEastAsia"/>
          <w:kern w:val="2"/>
          <w:sz w:val="24"/>
          <w:szCs w:val="24"/>
          <w:highlight w:val="none"/>
          <w:lang w:val="en-US" w:eastAsia="zh-CN" w:bidi="ar"/>
        </w:rPr>
        <w:t>14、绿化养护人员必须每天登记公园绿化养护作业情况，各种绿化养护用具用后要及时归置在统一位置。工作人员衣物要归置在统一位置。</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kern w:val="2"/>
          <w:sz w:val="24"/>
          <w:szCs w:val="24"/>
          <w:highlight w:val="none"/>
          <w:lang w:val="en-US" w:eastAsia="zh-CN" w:bidi="ar"/>
        </w:rPr>
      </w:pPr>
      <w:r>
        <w:rPr>
          <w:rFonts w:hint="eastAsia" w:asciiTheme="minorEastAsia" w:hAnsiTheme="minorEastAsia" w:eastAsiaTheme="minorEastAsia" w:cstheme="minorEastAsia"/>
          <w:kern w:val="2"/>
          <w:sz w:val="24"/>
          <w:szCs w:val="24"/>
          <w:highlight w:val="none"/>
          <w:lang w:val="en-US" w:eastAsia="zh-CN" w:bidi="ar"/>
        </w:rPr>
        <w:t>15、绿化养护人员每天必须登记出勤和绿化养护情况，每月需提交当月绿化养护总结和下月绿化养护计划。</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highlight w:val="none"/>
          <w:lang w:val="en-US"/>
        </w:rPr>
      </w:pPr>
      <w:r>
        <w:rPr>
          <w:rFonts w:hint="eastAsia" w:asciiTheme="minorEastAsia" w:hAnsiTheme="minorEastAsia" w:eastAsiaTheme="minorEastAsia" w:cstheme="minorEastAsia"/>
          <w:kern w:val="2"/>
          <w:sz w:val="24"/>
          <w:szCs w:val="24"/>
          <w:highlight w:val="none"/>
          <w:lang w:val="en-US" w:eastAsia="zh-CN" w:bidi="ar"/>
        </w:rPr>
        <w:t>16、中标供应商在做好本职工作的同时，需具有一定的创新管理能力及园林绿化相关的先进技术，结合公园特点向采购人提供合理化建议，以提高管理效率和管理质量。</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b/>
          <w:bCs w:val="0"/>
          <w:kern w:val="2"/>
          <w:sz w:val="24"/>
          <w:szCs w:val="24"/>
          <w:highlight w:val="none"/>
          <w:lang w:val="en-US" w:eastAsia="zh-CN" w:bidi="ar"/>
        </w:rPr>
        <w:t>（三）白蚁防治工作</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1、人员要求：</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（1）管理人员要求：在本项目承包期间，必须长期派驻不少于1名持白蚁防治或病媒生物防治或有害生物防制中级（或以上）职业资格证的专业消杀工作管理人员，提供人员证书及社保证明。</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（2）工作人员要求：在本项目承包期间，为本项目配备长期工作人员不低于2名持白蚁防治或病媒生物防或有害生物防制初级（或以上）职业资格证，提供人员证书及社保证明。</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（3）应急情况工作人员要求：在突发状况时或疫情发生时，需成立应急工作队，人数不得少于5人。</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highlight w:val="none"/>
          <w:lang w:val="en-US"/>
        </w:rPr>
      </w:pPr>
      <w:r>
        <w:rPr>
          <w:rFonts w:hint="eastAsia" w:asciiTheme="minorEastAsia" w:hAnsiTheme="minorEastAsia" w:eastAsiaTheme="minorEastAsia" w:cstheme="minorEastAsia"/>
          <w:kern w:val="2"/>
          <w:sz w:val="24"/>
          <w:szCs w:val="24"/>
          <w:highlight w:val="none"/>
          <w:lang w:val="en-US" w:eastAsia="zh-CN" w:bidi="ar"/>
        </w:rPr>
        <w:t>2、为保障采购人消杀工作质量，要求中标供应商必须配备以下设备服务于本项目：</w:t>
      </w:r>
    </w:p>
    <w:tbl>
      <w:tblPr>
        <w:tblStyle w:val="7"/>
        <w:tblpPr w:leftFromText="180" w:rightFromText="180" w:vertAnchor="text" w:horzAnchor="page" w:tblpX="2442" w:tblpY="152"/>
        <w:tblOverlap w:val="never"/>
        <w:tblW w:w="0" w:type="auto"/>
        <w:tblInd w:w="0" w:type="dxa"/>
        <w:tblLayout w:type="fixed"/>
        <w:tblCellMar>
          <w:top w:w="0" w:type="dxa"/>
          <w:left w:w="108" w:type="dxa"/>
          <w:bottom w:w="0" w:type="dxa"/>
          <w:right w:w="108" w:type="dxa"/>
        </w:tblCellMar>
      </w:tblPr>
      <w:tblGrid>
        <w:gridCol w:w="1061"/>
        <w:gridCol w:w="4423"/>
        <w:gridCol w:w="2076"/>
      </w:tblGrid>
      <w:tr>
        <w:tblPrEx>
          <w:tblCellMar>
            <w:top w:w="0" w:type="dxa"/>
            <w:left w:w="108" w:type="dxa"/>
            <w:bottom w:w="0" w:type="dxa"/>
            <w:right w:w="108" w:type="dxa"/>
          </w:tblCellMar>
        </w:tblPrEx>
        <w:trPr>
          <w:trHeight w:val="567" w:hRule="atLeast"/>
        </w:trPr>
        <w:tc>
          <w:tcPr>
            <w:tcW w:w="1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序号</w:t>
            </w:r>
          </w:p>
        </w:tc>
        <w:tc>
          <w:tcPr>
            <w:tcW w:w="442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名称</w:t>
            </w:r>
          </w:p>
        </w:tc>
        <w:tc>
          <w:tcPr>
            <w:tcW w:w="207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技术要求</w:t>
            </w:r>
          </w:p>
        </w:tc>
      </w:tr>
      <w:tr>
        <w:tblPrEx>
          <w:tblCellMar>
            <w:top w:w="0" w:type="dxa"/>
            <w:left w:w="108" w:type="dxa"/>
            <w:bottom w:w="0" w:type="dxa"/>
            <w:right w:w="108" w:type="dxa"/>
          </w:tblCellMar>
        </w:tblPrEx>
        <w:trPr>
          <w:trHeight w:val="567" w:hRule="atLeast"/>
        </w:trPr>
        <w:tc>
          <w:tcPr>
            <w:tcW w:w="1061" w:type="dxa"/>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w:t>
            </w:r>
          </w:p>
        </w:tc>
        <w:tc>
          <w:tcPr>
            <w:tcW w:w="4423"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工作车</w:t>
            </w:r>
          </w:p>
        </w:tc>
        <w:tc>
          <w:tcPr>
            <w:tcW w:w="2076"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≥1台</w:t>
            </w:r>
          </w:p>
        </w:tc>
      </w:tr>
      <w:tr>
        <w:tblPrEx>
          <w:tblCellMar>
            <w:top w:w="0" w:type="dxa"/>
            <w:left w:w="108" w:type="dxa"/>
            <w:bottom w:w="0" w:type="dxa"/>
            <w:right w:w="108" w:type="dxa"/>
          </w:tblCellMar>
        </w:tblPrEx>
        <w:trPr>
          <w:trHeight w:val="567" w:hRule="atLeast"/>
        </w:trPr>
        <w:tc>
          <w:tcPr>
            <w:tcW w:w="1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2</w:t>
            </w:r>
          </w:p>
        </w:tc>
        <w:tc>
          <w:tcPr>
            <w:tcW w:w="442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大功率手推车式机动喷雾机</w:t>
            </w:r>
          </w:p>
        </w:tc>
        <w:tc>
          <w:tcPr>
            <w:tcW w:w="207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≥1台</w:t>
            </w:r>
          </w:p>
        </w:tc>
      </w:tr>
      <w:tr>
        <w:tblPrEx>
          <w:tblCellMar>
            <w:top w:w="0" w:type="dxa"/>
            <w:left w:w="108" w:type="dxa"/>
            <w:bottom w:w="0" w:type="dxa"/>
            <w:right w:w="108" w:type="dxa"/>
          </w:tblCellMar>
        </w:tblPrEx>
        <w:trPr>
          <w:trHeight w:val="567" w:hRule="atLeast"/>
        </w:trPr>
        <w:tc>
          <w:tcPr>
            <w:tcW w:w="10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3</w:t>
            </w:r>
          </w:p>
        </w:tc>
        <w:tc>
          <w:tcPr>
            <w:tcW w:w="4423"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背负式机动（电动）喷雾机</w:t>
            </w:r>
          </w:p>
        </w:tc>
        <w:tc>
          <w:tcPr>
            <w:tcW w:w="2076"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≥2台</w:t>
            </w:r>
          </w:p>
        </w:tc>
      </w:tr>
      <w:tr>
        <w:tblPrEx>
          <w:tblCellMar>
            <w:top w:w="0" w:type="dxa"/>
            <w:left w:w="108" w:type="dxa"/>
            <w:bottom w:w="0" w:type="dxa"/>
            <w:right w:w="108" w:type="dxa"/>
          </w:tblCellMar>
        </w:tblPrEx>
        <w:trPr>
          <w:trHeight w:val="567" w:hRule="atLeast"/>
        </w:trPr>
        <w:tc>
          <w:tcPr>
            <w:tcW w:w="1061" w:type="dxa"/>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4</w:t>
            </w:r>
          </w:p>
        </w:tc>
        <w:tc>
          <w:tcPr>
            <w:tcW w:w="4423"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白蚁检测仪</w:t>
            </w:r>
          </w:p>
        </w:tc>
        <w:tc>
          <w:tcPr>
            <w:tcW w:w="2076" w:type="dxa"/>
            <w:tcBorders>
              <w:top w:val="nil"/>
              <w:left w:val="nil"/>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360" w:lineRule="auto"/>
              <w:ind w:left="0" w:right="0"/>
              <w:jc w:val="center"/>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≥1台</w:t>
            </w:r>
          </w:p>
        </w:tc>
      </w:tr>
    </w:tbl>
    <w:p>
      <w:pPr>
        <w:spacing w:line="360" w:lineRule="auto"/>
        <w:ind w:firstLine="0" w:firstLineChars="0"/>
        <w:rPr>
          <w:rFonts w:hint="eastAsia" w:asciiTheme="minorEastAsia" w:hAnsiTheme="minorEastAsia" w:eastAsiaTheme="minorEastAsia" w:cstheme="minorEastAsia"/>
          <w:bCs/>
          <w:color w:val="auto"/>
          <w:sz w:val="24"/>
          <w:szCs w:val="20"/>
          <w:highlight w:val="none"/>
          <w:lang w:eastAsia="zh-CN"/>
        </w:rPr>
      </w:pPr>
    </w:p>
    <w:p>
      <w:pPr>
        <w:spacing w:line="360" w:lineRule="auto"/>
        <w:ind w:firstLine="480" w:firstLineChars="200"/>
        <w:rPr>
          <w:rFonts w:hint="eastAsia" w:asciiTheme="minorEastAsia" w:hAnsiTheme="minorEastAsia" w:eastAsiaTheme="minorEastAsia" w:cstheme="minorEastAsia"/>
          <w:bCs/>
          <w:color w:val="auto"/>
          <w:sz w:val="24"/>
          <w:szCs w:val="20"/>
          <w:highlight w:val="none"/>
          <w:lang w:eastAsia="zh-CN"/>
        </w:rPr>
      </w:pPr>
      <w:r>
        <w:rPr>
          <w:rFonts w:hint="eastAsia" w:asciiTheme="minorEastAsia" w:hAnsiTheme="minorEastAsia" w:eastAsiaTheme="minorEastAsia" w:cstheme="minorEastAsia"/>
          <w:bCs/>
          <w:color w:val="auto"/>
          <w:sz w:val="24"/>
          <w:szCs w:val="20"/>
          <w:highlight w:val="none"/>
          <w:lang w:eastAsia="zh-CN"/>
        </w:rPr>
        <w:t>注：自有机械设备需提供有效的购买发票或行驶证；租赁机械设备需提供有效的租赁合同。</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3、防治白蚁危害一定要遵循“预防为主、防治结合、综合治理”的方针的原则，灭治和预防园区内的全部白蚁，降低和控制周围环境白蚁的危害活动密度，确保花草和道旁树免受白蚁危害，达到设计合理、措施可靠、降低成本、保护环境，又不破坏绿化带为目的。</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4、本项目防治期间必需使用经国家有关部门批准生产的药剂，中标供应商在实施白蚁防治施药期间，应通知采购人到园区现场对灭治白蚁的药剂进行检查及登记。</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5、本项目服务期间，中标供应商必须每周不少于一次进行全园蚁害巡检及监控诱杀（每月不少于四次）。</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6、日常管理工作中，公园管理人员巡查如发现蚁害危害严重、明显的，可以书面或口头通知中标供应商驻场负责人，驻场负责人在接到采购人书面通知或电话通知后，须在24小时内安排人员进行消杀防治。</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7、公园管理人员日常巡查抽检中如发现中标供应商没按要求如数到现场巡检防治的，每次以书面通知通报。若一季超过二次（含2次）通报，采购人可扣罚相应子项目当季防治服务费用10%；半年内超过4次（含4次）则给予书面警告，采购人可扣罚相应子项目全年防治服务费用15%；如一年内累计超过6次，采购人有权解除合同。</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8、中标供应商未能达到技术服务方案所约定的服务目标，采购人有权要求中标供应商限期整改。逾期未整改的，采购人有权终止合同。若是在防治有效期限内出现严重的、明显的蚁害，采购人限期要求整改而逾期未整改的或整改不见效果，导致公园苗木死亡或经济损失的，中标供应商应按规格、品种自行更换苗木或由采购人在当季服务费中扣取相应经济损失。</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9、中标供应商在防治过程中必须严格执行技术服务方案、安全操作规程、做好环境保护，不乱洒、乱喷药剂，做好各项巡检质量登记归档。</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10、绿化种植前土壤的毒化处理。在种植树木前，对要种植树木的土壤用专门的白蚁预防药剂进行喷洒处理，这样就能形成一道防蚁的药物屏障，使白蚁不能危害将要栽种的树木，杀灭原有土壤中的白蚁。</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11、加强对绿化的日常监测和管理。在白蚁出飞季节要定期对易受白蚁侵害的树木、草地进行检查和监测，发现蚁害和白蚁活动的迹象应及时处理并登记好白蚁危害的具体位置、白蚁的种类等，有效地控制蚁害的蔓延与扩散。</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 xml:space="preserve">12、对移植绿化的检查。在移植树木前，特别是对从白蚁危害高发地区移植过来的树木，在种植前，一定要加强对树木的检查，确保移植过来的树木在种植前自身不带有白蚁，一旦发现存在蚁害，要进行专门的杀灭处理后才能栽种。 </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13、定期埋设白蚁诱饵剂，采用在白蚁分飞期或活动期于草皮下或树木根部埋放诱杀包，使白蚁经过接触或蛀食，使其慢性中毒死亡，根治白蚁的繁殖和蔓延。</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14、中标供应商必须组建应急队伍，制定白蚁应急消杀方案。因特殊需要或发生公共突发事件，需要进行额外应急消杀时，中标供应商必须积极配合采购人落实应急消杀工作，费用由中标供应商承担，否则采购人有权终止合同。</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b/>
          <w:bCs w:val="0"/>
          <w:kern w:val="0"/>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15、在市、区爱卫办第三方监测机构对公园白蚁等进行检测工作中，如连续2次不合格，采购人有权终止合同；造成采购人工作被通报的，采购人有权向中标供应商下发整改通知书增加消杀次数直至监测合格，并扣除中标供应商当月服务费的8%，增加消杀次数费用由中标供应商承担。</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Theme="minorEastAsia" w:hAnsiTheme="minorEastAsia" w:eastAsiaTheme="minorEastAsia" w:cstheme="minorEastAsia"/>
          <w:b/>
          <w:bCs w:val="0"/>
          <w:kern w:val="0"/>
          <w:sz w:val="24"/>
          <w:szCs w:val="24"/>
          <w:highlight w:val="none"/>
          <w:lang w:val="en-US"/>
        </w:rPr>
      </w:pPr>
      <w:r>
        <w:rPr>
          <w:rFonts w:hint="eastAsia" w:asciiTheme="minorEastAsia" w:hAnsiTheme="minorEastAsia" w:eastAsiaTheme="minorEastAsia" w:cstheme="minorEastAsia"/>
          <w:b/>
          <w:bCs w:val="0"/>
          <w:kern w:val="0"/>
          <w:sz w:val="24"/>
          <w:szCs w:val="24"/>
          <w:highlight w:val="none"/>
          <w:lang w:val="en-US" w:eastAsia="zh-CN" w:bidi="ar"/>
        </w:rPr>
        <w:t>四、考核评分及处罚标准</w:t>
      </w:r>
    </w:p>
    <w:p>
      <w:pPr>
        <w:keepNext w:val="0"/>
        <w:keepLines w:val="0"/>
        <w:widowControl w:val="0"/>
        <w:suppressLineNumbers w:val="0"/>
        <w:spacing w:before="0" w:beforeAutospacing="0" w:after="0" w:afterAutospacing="0" w:line="360" w:lineRule="auto"/>
        <w:ind w:left="0" w:right="0" w:firstLine="48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为保证广州市黄埔区、广州开发区公园管理服务的质量，按照《广州市公园条例》、《广州市公园管理规范》、《广州开发区建设局 黄埔区住房和建设局园林绿化工作管理制度》的有关规定，参照广州市林业和园林局发布的《园林绿地养护管理技术规范》、《城市园林绿化用植物材料》、《园林种植土质量》、《绿化养护作业指导书》等文件标准，结合广州市黄埔区、广州开发区实际情况，现制定检查评分处罚细则如下：</w:t>
      </w:r>
    </w:p>
    <w:p>
      <w:pPr>
        <w:keepNext w:val="0"/>
        <w:keepLines w:val="0"/>
        <w:widowControl/>
        <w:suppressLineNumbers w:val="0"/>
        <w:spacing w:before="0" w:beforeAutospacing="0" w:after="0" w:afterAutospacing="0" w:line="360" w:lineRule="auto"/>
        <w:ind w:left="0" w:right="0" w:firstLine="360" w:firstLineChars="150"/>
        <w:jc w:val="left"/>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（一）检评主体：区公园管理中心负责，对本区公园内的服务质量实施</w:t>
      </w:r>
    </w:p>
    <w:p>
      <w:pPr>
        <w:keepNext w:val="0"/>
        <w:keepLines w:val="0"/>
        <w:widowControl/>
        <w:suppressLineNumbers w:val="0"/>
        <w:spacing w:before="0" w:beforeAutospacing="0" w:after="0" w:afterAutospacing="0" w:line="360" w:lineRule="auto"/>
        <w:ind w:left="0" w:right="0"/>
        <w:jc w:val="left"/>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检查评比和监督管理。</w:t>
      </w:r>
    </w:p>
    <w:p>
      <w:pPr>
        <w:keepNext w:val="0"/>
        <w:keepLines w:val="0"/>
        <w:widowControl/>
        <w:suppressLineNumbers w:val="0"/>
        <w:spacing w:before="0" w:beforeAutospacing="0" w:after="0" w:afterAutospacing="0" w:line="360" w:lineRule="auto"/>
        <w:ind w:left="0" w:right="0" w:firstLine="360" w:firstLineChars="150"/>
        <w:jc w:val="left"/>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（二）扣分标准：</w:t>
      </w:r>
    </w:p>
    <w:p>
      <w:pPr>
        <w:keepNext w:val="0"/>
        <w:keepLines w:val="0"/>
        <w:widowControl/>
        <w:suppressLineNumbers w:val="0"/>
        <w:spacing w:before="0" w:beforeAutospacing="0" w:after="0" w:afterAutospacing="0" w:line="360" w:lineRule="auto"/>
        <w:ind w:left="426" w:right="0" w:firstLine="120" w:firstLineChars="50"/>
        <w:jc w:val="left"/>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1、每扣一分减当月服务款100元。</w:t>
      </w:r>
    </w:p>
    <w:p>
      <w:pPr>
        <w:keepNext w:val="0"/>
        <w:keepLines w:val="0"/>
        <w:widowControl/>
        <w:suppressLineNumbers w:val="0"/>
        <w:spacing w:before="0" w:beforeAutospacing="0" w:after="0" w:afterAutospacing="0" w:line="360" w:lineRule="auto"/>
        <w:ind w:left="426" w:right="0" w:firstLine="120" w:firstLineChars="50"/>
        <w:jc w:val="left"/>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2、对于缺株、死株、倒伏、护树桩残缺、消杀不到位、蚁害的严重问题，</w:t>
      </w:r>
    </w:p>
    <w:p>
      <w:pPr>
        <w:keepNext w:val="0"/>
        <w:keepLines w:val="0"/>
        <w:widowControl/>
        <w:suppressLineNumbers w:val="0"/>
        <w:spacing w:before="0" w:beforeAutospacing="0" w:after="0" w:afterAutospacing="0" w:line="360" w:lineRule="auto"/>
        <w:ind w:left="0" w:right="0"/>
        <w:jc w:val="left"/>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或园林绿化处工作人员在检查中发现问题的，或中标供应商现场拒绝签字确认的，根据检查情况双倍扣分。</w:t>
      </w:r>
    </w:p>
    <w:p>
      <w:pPr>
        <w:keepNext w:val="0"/>
        <w:keepLines w:val="0"/>
        <w:widowControl/>
        <w:suppressLineNumbers w:val="0"/>
        <w:spacing w:before="0" w:beforeAutospacing="0" w:after="0" w:afterAutospacing="0" w:line="360" w:lineRule="auto"/>
        <w:ind w:left="0" w:right="0" w:firstLine="480" w:firstLineChars="200"/>
        <w:jc w:val="left"/>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3、被市有关部门在检查中发现问题并进行通报的，或区、局领导在检查中发现问题的，根据检查情况三倍扣分。</w:t>
      </w:r>
    </w:p>
    <w:p>
      <w:pPr>
        <w:keepNext w:val="0"/>
        <w:keepLines w:val="0"/>
        <w:widowControl/>
        <w:suppressLineNumbers w:val="0"/>
        <w:spacing w:before="0" w:beforeAutospacing="0" w:after="0" w:afterAutospacing="0" w:line="360" w:lineRule="auto"/>
        <w:ind w:left="0" w:right="0" w:firstLine="480" w:firstLineChars="200"/>
        <w:jc w:val="left"/>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4、检查发现问题后，即按照本规定的办法扣分，同时要求养护单位限期整</w:t>
      </w:r>
    </w:p>
    <w:p>
      <w:pPr>
        <w:keepNext w:val="0"/>
        <w:keepLines w:val="0"/>
        <w:widowControl/>
        <w:suppressLineNumbers w:val="0"/>
        <w:spacing w:before="0" w:beforeAutospacing="0" w:after="0" w:afterAutospacing="0" w:line="360" w:lineRule="auto"/>
        <w:ind w:left="0" w:right="0"/>
        <w:jc w:val="left"/>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改。具体执行标准为《广州市黄埔区、广州开发区公园管理检评考核表》。</w:t>
      </w:r>
    </w:p>
    <w:p>
      <w:pPr>
        <w:keepNext w:val="0"/>
        <w:keepLines w:val="0"/>
        <w:widowControl/>
        <w:suppressLineNumbers w:val="0"/>
        <w:spacing w:before="0" w:beforeAutospacing="0" w:after="0" w:afterAutospacing="0" w:line="360" w:lineRule="auto"/>
        <w:ind w:left="0" w:right="0" w:firstLine="480" w:firstLineChars="200"/>
        <w:jc w:val="left"/>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（三）处罚措施：</w:t>
      </w:r>
    </w:p>
    <w:p>
      <w:pPr>
        <w:keepNext w:val="0"/>
        <w:keepLines w:val="0"/>
        <w:widowControl/>
        <w:suppressLineNumbers w:val="0"/>
        <w:spacing w:before="0" w:beforeAutospacing="0" w:after="0" w:afterAutospacing="0" w:line="360" w:lineRule="auto"/>
        <w:ind w:left="0" w:right="0" w:firstLine="480" w:firstLineChars="200"/>
        <w:jc w:val="left"/>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 扣除服务款。即按照《广州市黄埔区、广州开发区公园管理检评考核表》，对养护不到位的单位，根据检查扣分情况按考核表标准扣除当月的服务款。</w:t>
      </w:r>
    </w:p>
    <w:p>
      <w:pPr>
        <w:keepNext w:val="0"/>
        <w:keepLines w:val="0"/>
        <w:widowControl/>
        <w:suppressLineNumbers w:val="0"/>
        <w:spacing w:before="0" w:beforeAutospacing="0" w:after="0" w:afterAutospacing="0" w:line="360" w:lineRule="auto"/>
        <w:ind w:left="0" w:right="0" w:firstLine="480" w:firstLineChars="200"/>
        <w:jc w:val="left"/>
        <w:rPr>
          <w:rFonts w:hint="eastAsia" w:asciiTheme="minorEastAsia" w:hAnsiTheme="minorEastAsia" w:eastAsiaTheme="minorEastAsia" w:cstheme="minorEastAsia"/>
          <w:kern w:val="2"/>
          <w:sz w:val="24"/>
          <w:szCs w:val="24"/>
          <w:highlight w:val="none"/>
          <w:lang w:val="en-US" w:eastAsia="zh-CN" w:bidi="ar"/>
        </w:rPr>
      </w:pPr>
      <w:r>
        <w:rPr>
          <w:rFonts w:hint="eastAsia" w:asciiTheme="minorEastAsia" w:hAnsiTheme="minorEastAsia" w:eastAsiaTheme="minorEastAsia" w:cstheme="minorEastAsia"/>
          <w:kern w:val="2"/>
          <w:sz w:val="24"/>
          <w:szCs w:val="24"/>
          <w:highlight w:val="none"/>
          <w:lang w:val="en-US" w:eastAsia="zh-CN" w:bidi="ar"/>
        </w:rPr>
        <w:t>2、采购人向中标供应商发出《整改通知书》后，中标供应商不按要求在限期内整改的，每逾期一天，由采购人扣除当月服务费的3‰作为违约金。</w:t>
      </w:r>
    </w:p>
    <w:p>
      <w:pPr>
        <w:keepNext w:val="0"/>
        <w:keepLines w:val="0"/>
        <w:widowControl/>
        <w:suppressLineNumbers w:val="0"/>
        <w:spacing w:before="0" w:beforeAutospacing="0" w:after="0" w:afterAutospacing="0" w:line="360" w:lineRule="auto"/>
        <w:ind w:left="0" w:right="0" w:firstLine="480" w:firstLineChars="200"/>
        <w:jc w:val="left"/>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3、由于中标供应商服务不文明而被新闻媒体曝光，情况属实每次扣减服务款10000元。</w:t>
      </w:r>
    </w:p>
    <w:p>
      <w:pPr>
        <w:keepNext w:val="0"/>
        <w:keepLines w:val="0"/>
        <w:widowControl/>
        <w:suppressLineNumbers w:val="0"/>
        <w:spacing w:before="0" w:beforeAutospacing="0" w:after="0" w:afterAutospacing="0" w:line="360" w:lineRule="auto"/>
        <w:ind w:left="0" w:right="0" w:firstLine="480" w:firstLineChars="200"/>
        <w:jc w:val="left"/>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4、在岗人数不足，每天每缺1人次扣款200元（事先请假的除外；确需请假者，须提前经中标供应商同意，再向采购人请示，得到批准并办好手续后方可请假）。</w:t>
      </w:r>
    </w:p>
    <w:p>
      <w:pPr>
        <w:keepNext w:val="0"/>
        <w:keepLines w:val="0"/>
        <w:widowControl/>
        <w:suppressLineNumbers w:val="0"/>
        <w:spacing w:before="0" w:beforeAutospacing="0" w:after="0" w:afterAutospacing="0" w:line="360" w:lineRule="auto"/>
        <w:ind w:left="0" w:right="0" w:firstLine="480" w:firstLineChars="200"/>
        <w:jc w:val="left"/>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5、采购人发现中标供应商在岗人员自由散漫，不按规定上、下班，上班时串岗、以及上岗时间吸烟、闲谈、睡觉、随处小便、滋事以及与游客发生争吵甚至打架的不良行为或做与工作无关的事情应予警告，警告无效，每人每次罚款100元。如多次出现以上情况，中标供应商应更换工作人员。</w:t>
      </w:r>
    </w:p>
    <w:p>
      <w:pPr>
        <w:keepNext w:val="0"/>
        <w:keepLines w:val="0"/>
        <w:widowControl/>
        <w:suppressLineNumbers w:val="0"/>
        <w:spacing w:before="0" w:beforeAutospacing="0" w:after="0" w:afterAutospacing="0" w:line="360" w:lineRule="auto"/>
        <w:ind w:left="0" w:right="0" w:firstLine="480" w:firstLineChars="200"/>
        <w:jc w:val="left"/>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6、中标供应商工作人员故意浪费水电和破坏设施的，除补偿水电费和设施费外，每人每次罚款100元。</w:t>
      </w:r>
    </w:p>
    <w:p>
      <w:pPr>
        <w:keepNext w:val="0"/>
        <w:keepLines w:val="0"/>
        <w:widowControl w:val="0"/>
        <w:suppressLineNumbers w:val="0"/>
        <w:snapToGrid w:val="0"/>
        <w:spacing w:before="0" w:beforeAutospacing="0" w:after="0" w:afterAutospacing="0" w:line="360" w:lineRule="auto"/>
        <w:ind w:left="0" w:right="0" w:firstLine="482" w:firstLineChars="200"/>
        <w:jc w:val="both"/>
        <w:rPr>
          <w:rFonts w:hint="eastAsia" w:asciiTheme="minorEastAsia" w:hAnsiTheme="minorEastAsia" w:eastAsiaTheme="minorEastAsia" w:cstheme="minorEastAsia"/>
          <w:b/>
          <w:bCs w:val="0"/>
          <w:kern w:val="0"/>
          <w:sz w:val="24"/>
          <w:szCs w:val="24"/>
          <w:highlight w:val="none"/>
          <w:lang w:val="en-US"/>
        </w:rPr>
      </w:pPr>
      <w:r>
        <w:rPr>
          <w:rFonts w:hint="eastAsia" w:asciiTheme="minorEastAsia" w:hAnsiTheme="minorEastAsia" w:eastAsiaTheme="minorEastAsia" w:cstheme="minorEastAsia"/>
          <w:b/>
          <w:bCs w:val="0"/>
          <w:kern w:val="0"/>
          <w:sz w:val="24"/>
          <w:szCs w:val="24"/>
          <w:highlight w:val="none"/>
          <w:lang w:val="en-US" w:eastAsia="zh-CN" w:bidi="ar"/>
        </w:rPr>
        <w:t>五、服务期限和承包方式</w:t>
      </w:r>
    </w:p>
    <w:p>
      <w:pPr>
        <w:keepNext w:val="0"/>
        <w:keepLines w:val="0"/>
        <w:widowControl/>
        <w:suppressLineNumbers w:val="0"/>
        <w:spacing w:before="0" w:beforeAutospacing="0" w:after="0" w:afterAutospacing="0" w:line="360" w:lineRule="auto"/>
        <w:ind w:left="0" w:right="0" w:firstLine="480" w:firstLineChars="200"/>
        <w:jc w:val="left"/>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（一）服务期限：自合同签订之日起36个月。</w:t>
      </w:r>
    </w:p>
    <w:p>
      <w:pPr>
        <w:keepNext w:val="0"/>
        <w:keepLines w:val="0"/>
        <w:widowControl/>
        <w:suppressLineNumbers w:val="0"/>
        <w:spacing w:before="0" w:beforeAutospacing="0" w:after="0" w:afterAutospacing="0" w:line="360" w:lineRule="auto"/>
        <w:ind w:left="0" w:right="0" w:firstLine="480" w:firstLineChars="200"/>
        <w:jc w:val="left"/>
        <w:rPr>
          <w:rFonts w:hint="eastAsia" w:asciiTheme="minorEastAsia" w:hAnsiTheme="minorEastAsia" w:eastAsiaTheme="minorEastAsia" w:cstheme="minorEastAsia"/>
          <w:b/>
          <w:bCs w:val="0"/>
          <w:kern w:val="0"/>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（二）服务方式：采取包工包料包质量的总价包干形式。</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Theme="minorEastAsia" w:hAnsiTheme="minorEastAsia" w:eastAsiaTheme="minorEastAsia" w:cstheme="minorEastAsia"/>
          <w:b/>
          <w:bCs w:val="0"/>
          <w:kern w:val="0"/>
          <w:sz w:val="24"/>
          <w:szCs w:val="24"/>
          <w:highlight w:val="none"/>
          <w:lang w:val="en-US"/>
        </w:rPr>
      </w:pPr>
      <w:r>
        <w:rPr>
          <w:rFonts w:hint="eastAsia" w:asciiTheme="minorEastAsia" w:hAnsiTheme="minorEastAsia" w:eastAsiaTheme="minorEastAsia" w:cstheme="minorEastAsia"/>
          <w:b/>
          <w:bCs w:val="0"/>
          <w:kern w:val="0"/>
          <w:sz w:val="24"/>
          <w:szCs w:val="24"/>
          <w:highlight w:val="none"/>
          <w:lang w:val="en-US" w:eastAsia="zh-CN" w:bidi="ar"/>
        </w:rPr>
        <w:t>六、付款结算方式</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b/>
          <w:bCs w:val="0"/>
          <w:kern w:val="0"/>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（一）中标供应商</w:t>
      </w:r>
      <w:r>
        <w:rPr>
          <w:rFonts w:hint="eastAsia" w:asciiTheme="minorEastAsia" w:hAnsiTheme="minorEastAsia" w:eastAsiaTheme="minorEastAsia" w:cstheme="minorEastAsia"/>
          <w:b w:val="0"/>
          <w:bCs w:val="0"/>
          <w:color w:val="auto"/>
          <w:sz w:val="24"/>
          <w:szCs w:val="24"/>
          <w:highlight w:val="none"/>
        </w:rPr>
        <w:t>在每季度第一个月前10日</w:t>
      </w:r>
      <w:r>
        <w:rPr>
          <w:rFonts w:hint="eastAsia" w:asciiTheme="minorEastAsia" w:hAnsiTheme="minorEastAsia" w:eastAsiaTheme="minorEastAsia" w:cstheme="minorEastAsia"/>
          <w:kern w:val="2"/>
          <w:sz w:val="24"/>
          <w:szCs w:val="24"/>
          <w:highlight w:val="none"/>
          <w:lang w:val="en-US" w:eastAsia="zh-CN" w:bidi="ar"/>
        </w:rPr>
        <w:t>，开具正式税务发票，凭现场考勤表（经采购人代表审核确认）及每季度的工作总结等资料向采购人申请支付上季度服务费用的90%，余下的10%费用在项目服务期限满后，经采购人现场验收通过后15日内，一次性无息付清。采购人在收到中标供应商发票的5个工作日内办理支付手续。如中标供应商提供的服务不足一个月时按日计算服务费。</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（二）本项目的经费由财政拨款，如因特殊情况的影响，拨款未能及时到位，中标供应商不得以此为由而不履行服务要求，否则采购人将按规定扣减当月服务费用。</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kern w:val="2"/>
          <w:sz w:val="24"/>
          <w:szCs w:val="24"/>
          <w:highlight w:val="none"/>
          <w:lang w:val="en-US" w:eastAsia="zh-CN" w:bidi="ar"/>
        </w:rPr>
      </w:pPr>
      <w:r>
        <w:rPr>
          <w:rFonts w:hint="eastAsia" w:asciiTheme="minorEastAsia" w:hAnsiTheme="minorEastAsia" w:eastAsiaTheme="minorEastAsia" w:cstheme="minorEastAsia"/>
          <w:kern w:val="2"/>
          <w:sz w:val="24"/>
          <w:szCs w:val="24"/>
          <w:highlight w:val="none"/>
          <w:lang w:val="en-US" w:eastAsia="zh-CN" w:bidi="ar"/>
        </w:rPr>
        <w:t>（三）每季服务费用在支付前须经采购人现场考核评分后方可支付。每类服务评分考核产生扣分的，按每分100元扣减当月服务费用，需提交经采购人与中标供应商双方确认盖章的扣罚通知书。月养护扣分在300分以上的，该月养护质量综合考核结果定位不合格。连续三个月考核结果均为不合格或一年内累计不合格次数在5次及以上的，取消其服务资格，解除合同，造成的损失由中标供应商自负，采购人一概不负任何责任。被终止服务资格的原中标供应商负责的工作由采购人另行采购。</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Theme="minorEastAsia" w:hAnsiTheme="minorEastAsia" w:eastAsiaTheme="minorEastAsia" w:cstheme="minorEastAsia"/>
          <w:b/>
          <w:bCs w:val="0"/>
          <w:sz w:val="24"/>
          <w:szCs w:val="24"/>
          <w:highlight w:val="none"/>
          <w:lang w:val="en-US"/>
        </w:rPr>
      </w:pPr>
      <w:r>
        <w:rPr>
          <w:rFonts w:hint="eastAsia" w:asciiTheme="minorEastAsia" w:hAnsiTheme="minorEastAsia" w:eastAsiaTheme="minorEastAsia" w:cstheme="minorEastAsia"/>
          <w:b/>
          <w:bCs w:val="0"/>
          <w:kern w:val="2"/>
          <w:sz w:val="24"/>
          <w:szCs w:val="24"/>
          <w:highlight w:val="none"/>
          <w:lang w:val="en-US" w:eastAsia="zh-CN" w:bidi="ar"/>
        </w:rPr>
        <w:t>七、履约担保</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bidi="ar"/>
        </w:rPr>
      </w:pPr>
      <w:r>
        <w:rPr>
          <w:rFonts w:hint="eastAsia" w:asciiTheme="minorEastAsia" w:hAnsiTheme="minorEastAsia" w:eastAsiaTheme="minorEastAsia" w:cstheme="minorEastAsia"/>
          <w:kern w:val="2"/>
          <w:sz w:val="24"/>
          <w:szCs w:val="24"/>
          <w:highlight w:val="none"/>
          <w:lang w:val="en-US" w:eastAsia="zh-CN" w:bidi="ar"/>
        </w:rPr>
        <w:t>（一）中标供应商在签订合同后5个工作日内，一次性向采购人提交中标价的5%银行保函作为履约担保，并将银行保函原件送交采购人备查和代为保管，服务期届满之日后银行保函自动失效。对于因中标供应商原因提前解除合同的、或造成采购人受到较大损失的，或在服务期发现原投标材料有虚假证明的，报经政府采购管理部门认定属实后，依法进行处罚，同时，该履约保证金不予退还。出具银行保函的银行对中标供应商违反本合同产生的违约责任负有不享有先诉抗辩权的连带责任。</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bidi="ar"/>
        </w:rPr>
      </w:pPr>
      <w:r>
        <w:rPr>
          <w:rFonts w:hint="eastAsia" w:asciiTheme="minorEastAsia" w:hAnsiTheme="minorEastAsia" w:eastAsiaTheme="minorEastAsia" w:cstheme="minorEastAsia"/>
          <w:kern w:val="2"/>
          <w:sz w:val="24"/>
          <w:szCs w:val="24"/>
          <w:highlight w:val="none"/>
          <w:lang w:val="en-US" w:eastAsia="zh-CN" w:bidi="ar"/>
        </w:rPr>
        <w:t>（二）中标供应商发生如下情形之一的，采购人不予退还履约保证金（银行履约保函）：</w:t>
      </w:r>
    </w:p>
    <w:p>
      <w:pPr>
        <w:keepNext w:val="0"/>
        <w:keepLines w:val="0"/>
        <w:widowControl w:val="0"/>
        <w:suppressLineNumbers w:val="0"/>
        <w:spacing w:before="0" w:beforeAutospacing="0" w:after="0" w:afterAutospacing="0" w:line="360" w:lineRule="auto"/>
        <w:ind w:left="0" w:right="0" w:firstLine="360" w:firstLineChars="150"/>
        <w:jc w:val="both"/>
        <w:rPr>
          <w:rFonts w:hint="eastAsia" w:asciiTheme="minorEastAsia" w:hAnsiTheme="minorEastAsia" w:eastAsiaTheme="minorEastAsia" w:cstheme="minorEastAsia"/>
          <w:sz w:val="24"/>
          <w:szCs w:val="24"/>
          <w:highlight w:val="none"/>
          <w:lang w:val="en-US" w:bidi="ar"/>
        </w:rPr>
      </w:pPr>
      <w:r>
        <w:rPr>
          <w:rFonts w:hint="eastAsia" w:asciiTheme="minorEastAsia" w:hAnsiTheme="minorEastAsia" w:eastAsiaTheme="minorEastAsia" w:cstheme="minorEastAsia"/>
          <w:kern w:val="2"/>
          <w:sz w:val="24"/>
          <w:szCs w:val="24"/>
          <w:highlight w:val="none"/>
          <w:lang w:val="en-US" w:eastAsia="zh-CN" w:bidi="ar"/>
        </w:rPr>
        <w:t>1、中标供应商事前未告知或未征得采购人同意而将本项目转包或分包的；</w:t>
      </w:r>
    </w:p>
    <w:p>
      <w:pPr>
        <w:keepNext w:val="0"/>
        <w:keepLines w:val="0"/>
        <w:widowControl w:val="0"/>
        <w:suppressLineNumbers w:val="0"/>
        <w:spacing w:before="0" w:beforeAutospacing="0" w:after="0" w:afterAutospacing="0" w:line="360" w:lineRule="auto"/>
        <w:ind w:left="0" w:right="0" w:firstLine="360" w:firstLineChars="150"/>
        <w:jc w:val="both"/>
        <w:rPr>
          <w:rFonts w:hint="eastAsia" w:asciiTheme="minorEastAsia" w:hAnsiTheme="minorEastAsia" w:eastAsiaTheme="minorEastAsia" w:cstheme="minorEastAsia"/>
          <w:sz w:val="24"/>
          <w:szCs w:val="24"/>
          <w:highlight w:val="none"/>
          <w:lang w:val="en-US" w:bidi="ar"/>
        </w:rPr>
      </w:pPr>
      <w:r>
        <w:rPr>
          <w:rFonts w:hint="eastAsia" w:asciiTheme="minorEastAsia" w:hAnsiTheme="minorEastAsia" w:eastAsiaTheme="minorEastAsia" w:cstheme="minorEastAsia"/>
          <w:kern w:val="2"/>
          <w:sz w:val="24"/>
          <w:szCs w:val="24"/>
          <w:highlight w:val="none"/>
          <w:lang w:val="en-US" w:eastAsia="zh-CN" w:bidi="ar"/>
        </w:rPr>
        <w:t>2、未能按合同约定履行服务义务、职责而造成采购人财物损失的；</w:t>
      </w:r>
    </w:p>
    <w:p>
      <w:pPr>
        <w:keepNext w:val="0"/>
        <w:keepLines w:val="0"/>
        <w:widowControl w:val="0"/>
        <w:suppressLineNumbers w:val="0"/>
        <w:spacing w:before="0" w:beforeAutospacing="0" w:after="0" w:afterAutospacing="0" w:line="360" w:lineRule="auto"/>
        <w:ind w:left="0" w:right="0" w:firstLine="360" w:firstLineChars="150"/>
        <w:jc w:val="both"/>
        <w:rPr>
          <w:rFonts w:hint="eastAsia" w:asciiTheme="minorEastAsia" w:hAnsiTheme="minorEastAsia" w:eastAsiaTheme="minorEastAsia" w:cstheme="minorEastAsia"/>
          <w:sz w:val="24"/>
          <w:szCs w:val="24"/>
          <w:highlight w:val="none"/>
          <w:lang w:val="en-US" w:bidi="ar"/>
        </w:rPr>
      </w:pPr>
      <w:r>
        <w:rPr>
          <w:rFonts w:hint="eastAsia" w:asciiTheme="minorEastAsia" w:hAnsiTheme="minorEastAsia" w:eastAsiaTheme="minorEastAsia" w:cstheme="minorEastAsia"/>
          <w:kern w:val="2"/>
          <w:sz w:val="24"/>
          <w:szCs w:val="24"/>
          <w:highlight w:val="none"/>
          <w:lang w:val="en-US" w:eastAsia="zh-CN" w:bidi="ar"/>
        </w:rPr>
        <w:t>3、在服务过程中发生严重失职导致责任事故或者不良社会影响的；</w:t>
      </w:r>
    </w:p>
    <w:p>
      <w:pPr>
        <w:keepNext w:val="0"/>
        <w:keepLines w:val="0"/>
        <w:widowControl w:val="0"/>
        <w:suppressLineNumbers w:val="0"/>
        <w:spacing w:before="0" w:beforeAutospacing="0" w:after="0" w:afterAutospacing="0" w:line="360" w:lineRule="auto"/>
        <w:ind w:left="0" w:right="0" w:firstLine="360" w:firstLineChars="150"/>
        <w:jc w:val="both"/>
        <w:rPr>
          <w:rFonts w:hint="eastAsia" w:asciiTheme="minorEastAsia" w:hAnsiTheme="minorEastAsia" w:eastAsiaTheme="minorEastAsia" w:cstheme="minorEastAsia"/>
          <w:sz w:val="24"/>
          <w:szCs w:val="24"/>
          <w:highlight w:val="none"/>
          <w:lang w:val="en-US" w:bidi="ar"/>
        </w:rPr>
      </w:pPr>
      <w:r>
        <w:rPr>
          <w:rFonts w:hint="eastAsia" w:asciiTheme="minorEastAsia" w:hAnsiTheme="minorEastAsia" w:eastAsiaTheme="minorEastAsia" w:cstheme="minorEastAsia"/>
          <w:kern w:val="2"/>
          <w:sz w:val="24"/>
          <w:szCs w:val="24"/>
          <w:highlight w:val="none"/>
          <w:lang w:val="en-US" w:eastAsia="zh-CN" w:bidi="ar"/>
        </w:rPr>
        <w:t>4、克扣人员工资或未按规定及时足额支付人员工资福利待遇的；</w:t>
      </w:r>
    </w:p>
    <w:p>
      <w:pPr>
        <w:keepNext w:val="0"/>
        <w:keepLines w:val="0"/>
        <w:widowControl w:val="0"/>
        <w:suppressLineNumbers w:val="0"/>
        <w:spacing w:before="0" w:beforeAutospacing="0" w:after="0" w:afterAutospacing="0" w:line="360" w:lineRule="auto"/>
        <w:ind w:left="0" w:right="0" w:firstLine="360" w:firstLineChars="150"/>
        <w:jc w:val="both"/>
        <w:rPr>
          <w:rFonts w:hint="eastAsia" w:asciiTheme="minorEastAsia" w:hAnsiTheme="minorEastAsia" w:eastAsiaTheme="minorEastAsia" w:cstheme="minorEastAsia"/>
          <w:sz w:val="24"/>
          <w:szCs w:val="24"/>
          <w:highlight w:val="none"/>
          <w:lang w:val="en-US" w:bidi="ar"/>
        </w:rPr>
      </w:pPr>
      <w:r>
        <w:rPr>
          <w:rFonts w:hint="eastAsia" w:asciiTheme="minorEastAsia" w:hAnsiTheme="minorEastAsia" w:eastAsiaTheme="minorEastAsia" w:cstheme="minorEastAsia"/>
          <w:kern w:val="2"/>
          <w:sz w:val="24"/>
          <w:szCs w:val="24"/>
          <w:highlight w:val="none"/>
          <w:lang w:val="en-US" w:eastAsia="zh-CN" w:bidi="ar"/>
        </w:rPr>
        <w:t>5、中标供应商违反合同规定，所提供的服务未达到合同要求，采购人书面提出整改通知，累计提出达三次，中标供应商未按要求及时整改的。</w:t>
      </w:r>
    </w:p>
    <w:p>
      <w:pPr>
        <w:keepNext w:val="0"/>
        <w:keepLines w:val="0"/>
        <w:widowControl w:val="0"/>
        <w:suppressLineNumbers w:val="0"/>
        <w:spacing w:before="0" w:beforeAutospacing="0" w:after="0" w:afterAutospacing="0" w:line="360" w:lineRule="auto"/>
        <w:ind w:left="0" w:right="0" w:firstLine="360" w:firstLineChars="150"/>
        <w:jc w:val="both"/>
        <w:rPr>
          <w:rFonts w:hint="eastAsia" w:asciiTheme="minorEastAsia" w:hAnsiTheme="minorEastAsia" w:eastAsiaTheme="minorEastAsia" w:cstheme="minorEastAsia"/>
          <w:sz w:val="24"/>
          <w:szCs w:val="24"/>
          <w:highlight w:val="none"/>
          <w:lang w:val="en-US" w:bidi="ar"/>
        </w:rPr>
      </w:pPr>
      <w:r>
        <w:rPr>
          <w:rFonts w:hint="eastAsia" w:asciiTheme="minorEastAsia" w:hAnsiTheme="minorEastAsia" w:eastAsiaTheme="minorEastAsia" w:cstheme="minorEastAsia"/>
          <w:kern w:val="2"/>
          <w:sz w:val="24"/>
          <w:szCs w:val="24"/>
          <w:highlight w:val="none"/>
          <w:lang w:val="en-US" w:eastAsia="zh-CN" w:bidi="ar"/>
        </w:rPr>
        <w:t>如在合同期内，中标供应商发生以上情形之一，采购人可直接从中标供应商提供银行履约保函的银行直接提取违约金作为造成各种损失的补偿。</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bidi="ar"/>
        </w:rPr>
      </w:pPr>
      <w:r>
        <w:rPr>
          <w:rFonts w:hint="eastAsia" w:asciiTheme="minorEastAsia" w:hAnsiTheme="minorEastAsia" w:eastAsiaTheme="minorEastAsia" w:cstheme="minorEastAsia"/>
          <w:kern w:val="2"/>
          <w:sz w:val="24"/>
          <w:szCs w:val="24"/>
          <w:highlight w:val="none"/>
          <w:lang w:val="en-US" w:eastAsia="zh-CN" w:bidi="ar"/>
        </w:rPr>
        <w:t>（三）逾期不退还履约保证金（银行履约保函）的违约责任：</w:t>
      </w:r>
    </w:p>
    <w:p>
      <w:pPr>
        <w:keepNext w:val="0"/>
        <w:keepLines w:val="0"/>
        <w:widowControl w:val="0"/>
        <w:suppressLineNumbers w:val="0"/>
        <w:spacing w:before="0" w:beforeAutospacing="0" w:after="0" w:afterAutospacing="0" w:line="360" w:lineRule="auto"/>
        <w:ind w:left="0" w:right="0" w:firstLine="360" w:firstLineChars="150"/>
        <w:jc w:val="both"/>
        <w:rPr>
          <w:rFonts w:hint="eastAsia" w:asciiTheme="minorEastAsia" w:hAnsiTheme="minorEastAsia" w:eastAsiaTheme="minorEastAsia" w:cstheme="minorEastAsia"/>
          <w:sz w:val="24"/>
          <w:szCs w:val="24"/>
          <w:highlight w:val="none"/>
          <w:lang w:val="en-US" w:bidi="ar"/>
        </w:rPr>
      </w:pPr>
      <w:r>
        <w:rPr>
          <w:rFonts w:hint="eastAsia" w:asciiTheme="minorEastAsia" w:hAnsiTheme="minorEastAsia" w:eastAsiaTheme="minorEastAsia" w:cstheme="minorEastAsia"/>
          <w:kern w:val="2"/>
          <w:sz w:val="24"/>
          <w:szCs w:val="24"/>
          <w:highlight w:val="none"/>
          <w:lang w:val="en-US" w:eastAsia="zh-CN" w:bidi="ar"/>
        </w:rPr>
        <w:t>1、中标供应商有权要求采购人交纳同服务费用总金额5%的违约金；</w:t>
      </w:r>
    </w:p>
    <w:p>
      <w:pPr>
        <w:keepNext w:val="0"/>
        <w:keepLines w:val="0"/>
        <w:widowControl w:val="0"/>
        <w:suppressLineNumbers w:val="0"/>
        <w:spacing w:before="0" w:beforeAutospacing="0" w:after="0" w:afterAutospacing="0" w:line="360" w:lineRule="auto"/>
        <w:ind w:left="0" w:right="0" w:firstLine="360" w:firstLineChars="150"/>
        <w:jc w:val="both"/>
        <w:rPr>
          <w:rFonts w:hint="eastAsia" w:asciiTheme="minorEastAsia" w:hAnsiTheme="minorEastAsia" w:eastAsiaTheme="minorEastAsia" w:cstheme="minorEastAsia"/>
          <w:sz w:val="24"/>
          <w:szCs w:val="24"/>
          <w:highlight w:val="none"/>
          <w:lang w:val="en-US" w:bidi="ar"/>
        </w:rPr>
      </w:pPr>
      <w:r>
        <w:rPr>
          <w:rFonts w:hint="eastAsia" w:asciiTheme="minorEastAsia" w:hAnsiTheme="minorEastAsia" w:eastAsiaTheme="minorEastAsia" w:cstheme="minorEastAsia"/>
          <w:kern w:val="2"/>
          <w:sz w:val="24"/>
          <w:szCs w:val="24"/>
          <w:highlight w:val="none"/>
          <w:lang w:val="en-US" w:eastAsia="zh-CN" w:bidi="ar"/>
        </w:rPr>
        <w:t>2、中标供应商有权向采购人所在地的人民法院提起诉讼。</w:t>
      </w:r>
    </w:p>
    <w:p>
      <w:pPr>
        <w:keepNext w:val="0"/>
        <w:keepLines w:val="0"/>
        <w:widowControl w:val="0"/>
        <w:suppressLineNumbers w:val="0"/>
        <w:spacing w:before="0" w:beforeAutospacing="0" w:after="0" w:afterAutospacing="0" w:line="360" w:lineRule="auto"/>
        <w:ind w:left="0" w:right="0" w:firstLine="360" w:firstLineChars="15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注：合同期间,中标供应商违约,严重影响采购人正常工作的,造成人身伤害或财产受损,采购人有权单方终止合同,同时向中标供应商索偿；中标供应商拒绝赔偿的，履约保证金将用于冲抵采购人经济损失后返还金额，如保证金不足以冲抵损失时，采购人有权另行向中标供应商追讨。</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Theme="minorEastAsia" w:hAnsiTheme="minorEastAsia" w:eastAsiaTheme="minorEastAsia" w:cstheme="minorEastAsia"/>
          <w:b/>
          <w:bCs w:val="0"/>
          <w:color w:val="FF0000"/>
          <w:sz w:val="24"/>
          <w:szCs w:val="24"/>
          <w:highlight w:val="none"/>
          <w:lang w:val="en-US"/>
        </w:rPr>
      </w:pPr>
      <w:r>
        <w:rPr>
          <w:rFonts w:hint="eastAsia" w:asciiTheme="minorEastAsia" w:hAnsiTheme="minorEastAsia" w:eastAsiaTheme="minorEastAsia" w:cstheme="minorEastAsia"/>
          <w:b/>
          <w:bCs w:val="0"/>
          <w:kern w:val="2"/>
          <w:sz w:val="24"/>
          <w:szCs w:val="24"/>
          <w:highlight w:val="none"/>
          <w:lang w:val="en-US" w:eastAsia="zh-CN" w:bidi="ar"/>
        </w:rPr>
        <w:t>八、报价要求</w:t>
      </w:r>
    </w:p>
    <w:p>
      <w:pPr>
        <w:keepNext w:val="0"/>
        <w:keepLines w:val="0"/>
        <w:widowControl w:val="0"/>
        <w:suppressLineNumbers w:val="0"/>
        <w:spacing w:before="0" w:beforeAutospacing="0" w:after="0" w:afterAutospacing="0" w:line="360" w:lineRule="auto"/>
        <w:ind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（一）按项目需求服务清单进行报价。</w:t>
      </w:r>
    </w:p>
    <w:p>
      <w:pPr>
        <w:keepNext w:val="0"/>
        <w:keepLines w:val="0"/>
        <w:widowControl w:val="0"/>
        <w:suppressLineNumbers w:val="0"/>
        <w:spacing w:before="0" w:beforeAutospacing="0" w:after="0" w:afterAutospacing="0" w:line="360" w:lineRule="auto"/>
        <w:ind w:right="0" w:firstLine="480" w:firstLineChars="200"/>
        <w:jc w:val="both"/>
        <w:rPr>
          <w:rFonts w:hint="eastAsia" w:asciiTheme="minorEastAsia" w:hAnsiTheme="minorEastAsia" w:eastAsiaTheme="minorEastAsia" w:cstheme="minorEastAsia"/>
          <w:kern w:val="2"/>
          <w:sz w:val="24"/>
          <w:szCs w:val="24"/>
          <w:highlight w:val="none"/>
          <w:lang w:val="en-US" w:eastAsia="zh-CN" w:bidi="ar"/>
        </w:rPr>
      </w:pPr>
      <w:r>
        <w:rPr>
          <w:rFonts w:hint="eastAsia" w:asciiTheme="minorEastAsia" w:hAnsiTheme="minorEastAsia" w:eastAsiaTheme="minorEastAsia" w:cstheme="minorEastAsia"/>
          <w:kern w:val="2"/>
          <w:sz w:val="24"/>
          <w:szCs w:val="24"/>
          <w:highlight w:val="none"/>
          <w:lang w:val="en-US" w:eastAsia="zh-CN" w:bidi="ar"/>
        </w:rPr>
        <w:t>（二）投标人报价低于或等于采购预算价80%的，需提供单独书面说明和成本分析等证明资料。</w:t>
      </w:r>
    </w:p>
    <w:p>
      <w:pPr>
        <w:keepNext w:val="0"/>
        <w:keepLines w:val="0"/>
        <w:widowControl w:val="0"/>
        <w:suppressLineNumbers w:val="0"/>
        <w:spacing w:before="0" w:beforeAutospacing="0" w:after="0" w:afterAutospacing="0" w:line="360" w:lineRule="auto"/>
        <w:ind w:right="0" w:firstLine="480" w:firstLineChars="200"/>
        <w:jc w:val="both"/>
        <w:rPr>
          <w:rFonts w:hint="eastAsia" w:asciiTheme="minorEastAsia" w:hAnsiTheme="minorEastAsia" w:eastAsiaTheme="minorEastAsia" w:cstheme="minorEastAsia"/>
          <w:kern w:val="2"/>
          <w:sz w:val="24"/>
          <w:szCs w:val="24"/>
          <w:highlight w:val="none"/>
          <w:lang w:val="en-US" w:eastAsia="zh-CN" w:bidi="ar"/>
        </w:rPr>
      </w:pPr>
      <w:r>
        <w:rPr>
          <w:rFonts w:hint="eastAsia" w:asciiTheme="minorEastAsia" w:hAnsiTheme="minorEastAsia" w:eastAsiaTheme="minorEastAsia" w:cstheme="minorEastAsia"/>
          <w:kern w:val="2"/>
          <w:sz w:val="24"/>
          <w:szCs w:val="24"/>
          <w:highlight w:val="none"/>
          <w:lang w:val="en-US" w:eastAsia="zh-CN" w:bidi="ar"/>
        </w:rPr>
        <w:t>（三）投标人投标单价不得超过最高单价限价。</w:t>
      </w:r>
    </w:p>
    <w:p>
      <w:pPr>
        <w:keepNext w:val="0"/>
        <w:keepLines w:val="0"/>
        <w:widowControl w:val="0"/>
        <w:suppressLineNumbers w:val="0"/>
        <w:spacing w:before="0" w:beforeAutospacing="0" w:after="0" w:afterAutospacing="0" w:line="360" w:lineRule="auto"/>
        <w:ind w:left="0" w:right="0" w:firstLine="482" w:firstLineChars="200"/>
        <w:jc w:val="both"/>
        <w:rPr>
          <w:rFonts w:hint="eastAsia" w:asciiTheme="minorEastAsia" w:hAnsiTheme="minorEastAsia" w:eastAsiaTheme="minorEastAsia" w:cstheme="minorEastAsia"/>
          <w:b/>
          <w:bCs w:val="0"/>
          <w:sz w:val="24"/>
          <w:szCs w:val="24"/>
          <w:highlight w:val="none"/>
          <w:lang w:val="en-US"/>
        </w:rPr>
      </w:pPr>
      <w:r>
        <w:rPr>
          <w:rFonts w:hint="eastAsia" w:asciiTheme="minorEastAsia" w:hAnsiTheme="minorEastAsia" w:eastAsiaTheme="minorEastAsia" w:cstheme="minorEastAsia"/>
          <w:b/>
          <w:bCs w:val="0"/>
          <w:kern w:val="2"/>
          <w:sz w:val="24"/>
          <w:szCs w:val="24"/>
          <w:highlight w:val="none"/>
          <w:lang w:val="en-US" w:eastAsia="zh-CN" w:bidi="ar"/>
        </w:rPr>
        <w:t>九、违约责任</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（一）中标供应商违反技术规范和要求作业造成损失的，除赔偿损失、限期整改外，并进行通报警告。</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bidi="ar"/>
        </w:rPr>
      </w:pPr>
      <w:r>
        <w:rPr>
          <w:rFonts w:hint="eastAsia" w:asciiTheme="minorEastAsia" w:hAnsiTheme="minorEastAsia" w:eastAsiaTheme="minorEastAsia" w:cstheme="minorEastAsia"/>
          <w:kern w:val="2"/>
          <w:sz w:val="24"/>
          <w:szCs w:val="24"/>
          <w:highlight w:val="none"/>
          <w:lang w:val="en-US" w:eastAsia="zh-CN" w:bidi="ar"/>
        </w:rPr>
        <w:t>（二）在合同期内，中标供应商必须如数保养采购人委托管理养护绿化、清洁园建设施，未经采购人批准不得改变现状、功能。如有违反，采购人责令限期恢复原貌，并按违反相关法规处理，记录在案。</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bidi="ar"/>
        </w:rPr>
      </w:pPr>
      <w:r>
        <w:rPr>
          <w:rFonts w:hint="eastAsia" w:asciiTheme="minorEastAsia" w:hAnsiTheme="minorEastAsia" w:eastAsiaTheme="minorEastAsia" w:cstheme="minorEastAsia"/>
          <w:kern w:val="2"/>
          <w:sz w:val="24"/>
          <w:szCs w:val="24"/>
          <w:highlight w:val="none"/>
          <w:lang w:val="en-US" w:eastAsia="zh-CN" w:bidi="ar"/>
        </w:rPr>
        <w:t>（三）中标供应商应按其响应项目提供服务，凡未提供或未达到标准的限期整改，逾期未改的，每逾期一天，由采购人扣除当月服务费的3‰作为违约金。</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四）中标供应商违反本合同规定，所提供的服务未达到合同要求，采购人书面提出整改通知，累计提出达三次，中标供应商未按要求及时整改的，采购人有权终止合同，没收履约保证金，由此造成采购人经济损失的，中标供应商应给予赔偿。</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kern w:val="2"/>
          <w:sz w:val="24"/>
          <w:szCs w:val="24"/>
          <w:highlight w:val="none"/>
          <w:lang w:val="en-US" w:eastAsia="zh-CN" w:bidi="ar"/>
        </w:rPr>
      </w:pPr>
      <w:r>
        <w:rPr>
          <w:rFonts w:hint="eastAsia" w:asciiTheme="minorEastAsia" w:hAnsiTheme="minorEastAsia" w:eastAsiaTheme="minorEastAsia" w:cstheme="minorEastAsia"/>
          <w:kern w:val="2"/>
          <w:sz w:val="24"/>
          <w:szCs w:val="24"/>
          <w:highlight w:val="none"/>
          <w:lang w:val="en-US" w:eastAsia="zh-CN" w:bidi="ar"/>
        </w:rPr>
        <w:t>附件: 1、园林绿地养护管理技术规范</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Theme="minorEastAsia" w:hAnsiTheme="minorEastAsia" w:eastAsiaTheme="minorEastAsia" w:cstheme="minorEastAsia"/>
          <w:kern w:val="2"/>
          <w:sz w:val="24"/>
          <w:szCs w:val="24"/>
          <w:highlight w:val="none"/>
        </w:rPr>
      </w:pPr>
      <w:r>
        <w:rPr>
          <w:rFonts w:hint="eastAsia" w:asciiTheme="minorEastAsia" w:hAnsiTheme="minorEastAsia" w:eastAsiaTheme="minorEastAsia" w:cstheme="minorEastAsia"/>
          <w:kern w:val="2"/>
          <w:sz w:val="24"/>
          <w:szCs w:val="24"/>
          <w:highlight w:val="none"/>
          <w:lang w:val="en-US" w:eastAsia="zh-CN" w:bidi="ar"/>
        </w:rPr>
        <w:t xml:space="preserve">      2、广州开发区建设局 黄埔区住房和建设局园林绿化工作管理制度</w:t>
      </w:r>
    </w:p>
    <w:p>
      <w:pPr>
        <w:keepNext w:val="0"/>
        <w:keepLines w:val="0"/>
        <w:widowControl w:val="0"/>
        <w:suppressLineNumbers w:val="0"/>
        <w:spacing w:before="0" w:beforeAutospacing="0" w:after="0" w:afterAutospacing="0" w:line="360" w:lineRule="auto"/>
        <w:ind w:left="0" w:right="0" w:firstLine="1200" w:firstLineChars="500"/>
        <w:jc w:val="both"/>
        <w:rPr>
          <w:rFonts w:hint="eastAsia" w:asciiTheme="minorEastAsia" w:hAnsiTheme="minorEastAsia" w:eastAsiaTheme="minorEastAsia" w:cstheme="minorEastAsia"/>
          <w:kern w:val="2"/>
          <w:sz w:val="24"/>
          <w:szCs w:val="24"/>
          <w:highlight w:val="none"/>
          <w:lang w:val="en-US" w:eastAsia="zh-CN" w:bidi="ar"/>
        </w:rPr>
      </w:pPr>
      <w:r>
        <w:rPr>
          <w:rFonts w:hint="eastAsia" w:asciiTheme="minorEastAsia" w:hAnsiTheme="minorEastAsia" w:eastAsiaTheme="minorEastAsia" w:cstheme="minorEastAsia"/>
          <w:kern w:val="2"/>
          <w:sz w:val="24"/>
          <w:szCs w:val="24"/>
          <w:highlight w:val="none"/>
          <w:lang w:val="en-US" w:eastAsia="zh-CN" w:bidi="ar"/>
        </w:rPr>
        <w:t>3、广州市黄埔区、广州开发区公园管理月度检评考核表</w:t>
      </w:r>
    </w:p>
    <w:p>
      <w:pPr>
        <w:widowControl/>
        <w:tabs>
          <w:tab w:val="left" w:pos="960"/>
        </w:tabs>
        <w:spacing w:line="360" w:lineRule="auto"/>
        <w:ind w:firstLine="1080" w:firstLineChars="450"/>
        <w:jc w:val="left"/>
        <w:rPr>
          <w:rFonts w:hint="eastAsia" w:asciiTheme="minorEastAsia" w:hAnsiTheme="minorEastAsia" w:eastAsiaTheme="minorEastAsia" w:cstheme="minorEastAsia"/>
          <w:sz w:val="24"/>
          <w:highlight w:val="none"/>
          <w:lang w:val="en-US" w:bidi="ar"/>
        </w:rPr>
      </w:pPr>
      <w:r>
        <w:rPr>
          <w:rFonts w:hint="eastAsia" w:asciiTheme="minorEastAsia" w:hAnsiTheme="minorEastAsia" w:eastAsiaTheme="minorEastAsia" w:cstheme="minorEastAsia"/>
          <w:kern w:val="2"/>
          <w:sz w:val="24"/>
          <w:szCs w:val="24"/>
          <w:highlight w:val="none"/>
          <w:lang w:val="en-US" w:eastAsia="zh-CN" w:bidi="ar"/>
        </w:rPr>
        <w:t xml:space="preserve"> </w:t>
      </w:r>
      <w:r>
        <w:rPr>
          <w:rFonts w:hint="eastAsia" w:asciiTheme="minorEastAsia" w:hAnsiTheme="minorEastAsia" w:eastAsiaTheme="minorEastAsia" w:cstheme="minorEastAsia"/>
          <w:b w:val="0"/>
          <w:kern w:val="2"/>
          <w:sz w:val="24"/>
          <w:szCs w:val="24"/>
          <w:highlight w:val="none"/>
          <w:lang w:val="en-US" w:eastAsia="zh-CN" w:bidi="ar"/>
        </w:rPr>
        <w:t>4、黄埔公园片区综合维护管理服务项目服务清单</w:t>
      </w:r>
    </w:p>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b/>
          <w:bCs/>
          <w:kern w:val="2"/>
          <w:sz w:val="24"/>
          <w:szCs w:val="24"/>
          <w:highlight w:val="none"/>
          <w:lang w:val="en-US" w:eastAsia="zh-CN" w:bidi="ar"/>
        </w:rPr>
      </w:pPr>
    </w:p>
    <w:p>
      <w:pPr>
        <w:pStyle w:val="2"/>
        <w:rPr>
          <w:rFonts w:hint="eastAsia" w:asciiTheme="minorEastAsia" w:hAnsiTheme="minorEastAsia" w:eastAsiaTheme="minorEastAsia" w:cstheme="minorEastAsia"/>
          <w:b/>
          <w:bCs/>
          <w:kern w:val="2"/>
          <w:sz w:val="24"/>
          <w:szCs w:val="24"/>
          <w:highlight w:val="none"/>
          <w:lang w:val="en-US" w:eastAsia="zh-CN" w:bidi="ar"/>
        </w:rPr>
      </w:pPr>
    </w:p>
    <w:p>
      <w:pPr>
        <w:rPr>
          <w:rFonts w:hint="eastAsia" w:asciiTheme="minorEastAsia" w:hAnsiTheme="minorEastAsia" w:eastAsiaTheme="minorEastAsia" w:cstheme="minorEastAsia"/>
          <w:b/>
          <w:bCs/>
          <w:kern w:val="2"/>
          <w:sz w:val="24"/>
          <w:szCs w:val="24"/>
          <w:highlight w:val="none"/>
          <w:lang w:val="en-US" w:eastAsia="zh-CN" w:bidi="ar"/>
        </w:rPr>
      </w:pPr>
    </w:p>
    <w:p>
      <w:pPr>
        <w:rPr>
          <w:rFonts w:hint="eastAsia" w:asciiTheme="minorEastAsia" w:hAnsiTheme="minorEastAsia" w:eastAsiaTheme="minorEastAsia" w:cstheme="minorEastAsia"/>
          <w:highlight w:val="none"/>
          <w:lang w:val="en-US" w:eastAsia="zh-CN"/>
        </w:rPr>
      </w:pPr>
    </w:p>
    <w:p>
      <w:pPr>
        <w:pStyle w:val="2"/>
        <w:rPr>
          <w:rFonts w:hint="eastAsia" w:asciiTheme="minorEastAsia" w:hAnsiTheme="minorEastAsia" w:eastAsiaTheme="minorEastAsia" w:cstheme="minorEastAsia"/>
          <w:highlight w:val="none"/>
          <w:lang w:val="en-US" w:eastAsia="zh-CN"/>
        </w:rPr>
      </w:pPr>
    </w:p>
    <w:p>
      <w:pPr>
        <w:rPr>
          <w:rFonts w:hint="eastAsia" w:asciiTheme="minorEastAsia" w:hAnsiTheme="minorEastAsia" w:eastAsiaTheme="minorEastAsia" w:cstheme="minorEastAsia"/>
          <w:highlight w:val="none"/>
          <w:lang w:val="en-US" w:eastAsia="zh-CN"/>
        </w:rPr>
      </w:pPr>
    </w:p>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b/>
          <w:bCs/>
          <w:sz w:val="24"/>
          <w:szCs w:val="24"/>
          <w:highlight w:val="none"/>
          <w:lang w:val="en-US"/>
        </w:rPr>
      </w:pPr>
      <w:r>
        <w:rPr>
          <w:rFonts w:hint="eastAsia" w:asciiTheme="minorEastAsia" w:hAnsiTheme="minorEastAsia" w:eastAsiaTheme="minorEastAsia" w:cstheme="minorEastAsia"/>
          <w:b/>
          <w:bCs/>
          <w:kern w:val="2"/>
          <w:sz w:val="24"/>
          <w:szCs w:val="24"/>
          <w:highlight w:val="none"/>
          <w:lang w:val="en-US" w:eastAsia="zh-CN" w:bidi="ar"/>
        </w:rPr>
        <w:t>附件1：</w:t>
      </w:r>
    </w:p>
    <w:p>
      <w:pPr>
        <w:keepNext w:val="0"/>
        <w:keepLines w:val="0"/>
        <w:widowControl/>
        <w:suppressLineNumbers w:val="0"/>
        <w:spacing w:before="0" w:beforeAutospacing="0" w:after="0" w:afterAutospacing="0"/>
        <w:ind w:left="0" w:right="0"/>
        <w:jc w:val="center"/>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 xml:space="preserve"> </w:t>
      </w:r>
      <w:r>
        <w:rPr>
          <w:rFonts w:hint="eastAsia" w:asciiTheme="minorEastAsia" w:hAnsiTheme="minorEastAsia" w:eastAsiaTheme="minorEastAsia" w:cstheme="minorEastAsia"/>
          <w:kern w:val="2"/>
          <w:sz w:val="24"/>
          <w:szCs w:val="24"/>
          <w:highlight w:val="none"/>
          <w:lang w:val="en-US" w:eastAsia="zh-CN" w:bidi="ar"/>
        </w:rPr>
        <w:drawing>
          <wp:inline distT="0" distB="0" distL="114300" distR="114300">
            <wp:extent cx="5154930" cy="6781800"/>
            <wp:effectExtent l="0" t="0" r="7620" b="0"/>
            <wp:docPr id="1" name="图片 1" descr="15741457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74145744(1)"/>
                    <pic:cNvPicPr>
                      <a:picLocks noChangeAspect="1"/>
                    </pic:cNvPicPr>
                  </pic:nvPicPr>
                  <pic:blipFill>
                    <a:blip r:embed="rId4"/>
                    <a:stretch>
                      <a:fillRect/>
                    </a:stretch>
                  </pic:blipFill>
                  <pic:spPr>
                    <a:xfrm>
                      <a:off x="0" y="0"/>
                      <a:ext cx="5154930" cy="6781800"/>
                    </a:xfrm>
                    <a:prstGeom prst="rect">
                      <a:avLst/>
                    </a:prstGeom>
                    <a:noFill/>
                    <a:ln>
                      <a:noFill/>
                    </a:ln>
                  </pic:spPr>
                </pic:pic>
              </a:graphicData>
            </a:graphic>
          </wp:inline>
        </w:drawing>
      </w:r>
    </w:p>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kern w:val="2"/>
          <w:sz w:val="24"/>
          <w:szCs w:val="24"/>
          <w:highlight w:val="none"/>
          <w:lang w:val="en-US" w:eastAsia="zh-CN" w:bidi="ar"/>
        </w:rPr>
      </w:pPr>
    </w:p>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kern w:val="2"/>
          <w:sz w:val="24"/>
          <w:szCs w:val="24"/>
          <w:highlight w:val="none"/>
          <w:lang w:val="en-US" w:eastAsia="zh-CN" w:bidi="ar"/>
        </w:rPr>
      </w:pPr>
    </w:p>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kern w:val="2"/>
          <w:sz w:val="24"/>
          <w:szCs w:val="24"/>
          <w:highlight w:val="none"/>
          <w:lang w:val="en-US" w:eastAsia="zh-CN" w:bidi="ar"/>
        </w:rPr>
      </w:pPr>
    </w:p>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kern w:val="2"/>
          <w:sz w:val="24"/>
          <w:szCs w:val="24"/>
          <w:highlight w:val="none"/>
          <w:lang w:val="en-US" w:eastAsia="zh-CN" w:bidi="ar"/>
        </w:rPr>
      </w:pPr>
    </w:p>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kern w:val="2"/>
          <w:sz w:val="24"/>
          <w:szCs w:val="24"/>
          <w:highlight w:val="none"/>
          <w:lang w:val="en-US" w:eastAsia="zh-CN" w:bidi="ar"/>
        </w:rPr>
      </w:pPr>
    </w:p>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kern w:val="2"/>
          <w:sz w:val="24"/>
          <w:szCs w:val="24"/>
          <w:highlight w:val="none"/>
          <w:lang w:val="en-US" w:eastAsia="zh-CN" w:bidi="ar"/>
        </w:rPr>
      </w:pPr>
    </w:p>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kern w:val="2"/>
          <w:sz w:val="24"/>
          <w:szCs w:val="24"/>
          <w:highlight w:val="none"/>
          <w:lang w:val="en-US" w:eastAsia="zh-CN" w:bidi="ar"/>
        </w:rPr>
      </w:pPr>
    </w:p>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b/>
          <w:bCs/>
          <w:kern w:val="2"/>
          <w:sz w:val="24"/>
          <w:szCs w:val="24"/>
          <w:highlight w:val="none"/>
          <w:lang w:val="en-US" w:eastAsia="zh-CN" w:bidi="ar"/>
        </w:rPr>
      </w:pPr>
    </w:p>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b/>
          <w:bCs/>
          <w:kern w:val="2"/>
          <w:sz w:val="24"/>
          <w:szCs w:val="24"/>
          <w:highlight w:val="none"/>
          <w:lang w:val="en-US" w:eastAsia="zh-CN" w:bidi="ar"/>
        </w:rPr>
      </w:pPr>
    </w:p>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b/>
          <w:bCs/>
          <w:sz w:val="24"/>
          <w:szCs w:val="24"/>
          <w:highlight w:val="none"/>
          <w:lang w:val="en-US"/>
        </w:rPr>
      </w:pPr>
      <w:r>
        <w:rPr>
          <w:rFonts w:hint="eastAsia" w:asciiTheme="minorEastAsia" w:hAnsiTheme="minorEastAsia" w:eastAsiaTheme="minorEastAsia" w:cstheme="minorEastAsia"/>
          <w:b/>
          <w:bCs/>
          <w:kern w:val="2"/>
          <w:sz w:val="24"/>
          <w:szCs w:val="24"/>
          <w:highlight w:val="none"/>
          <w:lang w:val="en-US" w:eastAsia="zh-CN" w:bidi="ar"/>
        </w:rPr>
        <w:t>附件2：</w:t>
      </w:r>
    </w:p>
    <w:p>
      <w:pPr>
        <w:keepNext w:val="0"/>
        <w:keepLines w:val="0"/>
        <w:widowControl w:val="0"/>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bCs w:val="0"/>
          <w:sz w:val="28"/>
          <w:szCs w:val="28"/>
          <w:highlight w:val="none"/>
          <w:lang w:val="en-US"/>
        </w:rPr>
      </w:pPr>
      <w:r>
        <w:rPr>
          <w:rFonts w:hint="eastAsia" w:asciiTheme="minorEastAsia" w:hAnsiTheme="minorEastAsia" w:eastAsiaTheme="minorEastAsia" w:cstheme="minorEastAsia"/>
          <w:b/>
          <w:bCs w:val="0"/>
          <w:kern w:val="2"/>
          <w:sz w:val="28"/>
          <w:szCs w:val="28"/>
          <w:highlight w:val="none"/>
          <w:lang w:val="en-US" w:eastAsia="zh-CN" w:bidi="ar"/>
        </w:rPr>
        <w:t>广州开发区建设局 黄埔区住房和建设局</w:t>
      </w:r>
    </w:p>
    <w:p>
      <w:pPr>
        <w:keepNext w:val="0"/>
        <w:keepLines w:val="0"/>
        <w:widowControl w:val="0"/>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b/>
          <w:bCs w:val="0"/>
          <w:sz w:val="28"/>
          <w:szCs w:val="28"/>
          <w:highlight w:val="none"/>
          <w:lang w:val="en-US"/>
        </w:rPr>
      </w:pPr>
      <w:r>
        <w:rPr>
          <w:rFonts w:hint="eastAsia" w:asciiTheme="minorEastAsia" w:hAnsiTheme="minorEastAsia" w:eastAsiaTheme="minorEastAsia" w:cstheme="minorEastAsia"/>
          <w:b/>
          <w:bCs w:val="0"/>
          <w:kern w:val="2"/>
          <w:sz w:val="28"/>
          <w:szCs w:val="28"/>
          <w:highlight w:val="none"/>
          <w:lang w:val="en-US" w:eastAsia="zh-CN" w:bidi="ar"/>
        </w:rPr>
        <w:t>园林绿化工作管理制度</w:t>
      </w:r>
    </w:p>
    <w:p>
      <w:pPr>
        <w:keepNext w:val="0"/>
        <w:keepLines w:val="0"/>
        <w:widowControl w:val="0"/>
        <w:suppressLineNumbers w:val="0"/>
        <w:spacing w:before="0" w:beforeAutospacing="0" w:after="0" w:afterAutospacing="0" w:line="580" w:lineRule="exact"/>
        <w:ind w:left="0" w:right="0"/>
        <w:jc w:val="both"/>
        <w:rPr>
          <w:rFonts w:hint="eastAsia" w:asciiTheme="minorEastAsia" w:hAnsiTheme="minorEastAsia" w:eastAsiaTheme="minorEastAsia" w:cstheme="minorEastAsia"/>
          <w:b/>
          <w:bCs w:val="0"/>
          <w:sz w:val="28"/>
          <w:szCs w:val="28"/>
          <w:highlight w:val="none"/>
          <w:lang w:val="en-US"/>
        </w:rPr>
      </w:pPr>
      <w:r>
        <w:rPr>
          <w:rFonts w:hint="eastAsia" w:asciiTheme="minorEastAsia" w:hAnsiTheme="minorEastAsia" w:eastAsiaTheme="minorEastAsia" w:cstheme="minorEastAsia"/>
          <w:b/>
          <w:bCs w:val="0"/>
          <w:kern w:val="2"/>
          <w:sz w:val="28"/>
          <w:szCs w:val="28"/>
          <w:highlight w:val="none"/>
          <w:lang w:val="en-US" w:eastAsia="zh-CN" w:bidi="ar"/>
        </w:rPr>
        <w:t xml:space="preserve"> </w:t>
      </w:r>
    </w:p>
    <w:p>
      <w:pPr>
        <w:keepNext w:val="0"/>
        <w:keepLines w:val="0"/>
        <w:widowControl w:val="0"/>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第一章  总则</w:t>
      </w:r>
    </w:p>
    <w:p>
      <w:pPr>
        <w:keepNext w:val="0"/>
        <w:keepLines w:val="0"/>
        <w:widowControl w:val="0"/>
        <w:suppressLineNumbers w:val="0"/>
        <w:spacing w:before="0" w:beforeAutospacing="0" w:after="0" w:afterAutospacing="0" w:line="580" w:lineRule="exact"/>
        <w:ind w:left="0" w:right="0" w:firstLine="482"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b/>
          <w:bCs w:val="0"/>
          <w:kern w:val="2"/>
          <w:sz w:val="24"/>
          <w:szCs w:val="24"/>
          <w:highlight w:val="none"/>
          <w:lang w:val="en-US" w:eastAsia="zh-CN" w:bidi="ar"/>
        </w:rPr>
        <w:t>第一条</w:t>
      </w:r>
      <w:r>
        <w:rPr>
          <w:rFonts w:hint="eastAsia" w:asciiTheme="minorEastAsia" w:hAnsiTheme="minorEastAsia" w:eastAsiaTheme="minorEastAsia" w:cstheme="minorEastAsia"/>
          <w:kern w:val="2"/>
          <w:sz w:val="24"/>
          <w:szCs w:val="24"/>
          <w:highlight w:val="none"/>
          <w:lang w:val="en-US" w:eastAsia="zh-CN" w:bidi="ar"/>
        </w:rPr>
        <w:t xml:space="preserve">  为提升我区园林绿化管理水平，促进园林绿化管理工作规范有序的开展，根据《广州市绿化条例》、《广州市公园条例》和有关法律、法规，结合我区实际情况，制定本制度。</w:t>
      </w:r>
    </w:p>
    <w:p>
      <w:pPr>
        <w:keepNext w:val="0"/>
        <w:keepLines w:val="0"/>
        <w:widowControl w:val="0"/>
        <w:suppressLineNumbers w:val="0"/>
        <w:spacing w:before="0" w:beforeAutospacing="0" w:after="0" w:afterAutospacing="0" w:line="580" w:lineRule="exact"/>
        <w:ind w:left="0" w:right="0" w:firstLine="482"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b/>
          <w:bCs w:val="0"/>
          <w:kern w:val="2"/>
          <w:sz w:val="24"/>
          <w:szCs w:val="24"/>
          <w:highlight w:val="none"/>
          <w:lang w:val="en-US" w:eastAsia="zh-CN" w:bidi="ar"/>
        </w:rPr>
        <w:t>第二条</w:t>
      </w:r>
      <w:r>
        <w:rPr>
          <w:rFonts w:hint="eastAsia" w:asciiTheme="minorEastAsia" w:hAnsiTheme="minorEastAsia" w:eastAsiaTheme="minorEastAsia" w:cstheme="minorEastAsia"/>
          <w:kern w:val="2"/>
          <w:sz w:val="24"/>
          <w:szCs w:val="24"/>
          <w:highlight w:val="none"/>
          <w:lang w:val="en-US" w:eastAsia="zh-CN" w:bidi="ar"/>
        </w:rPr>
        <w:t xml:space="preserve">  广州开发区建设局、黄埔区住房和建设局（以下简称“区建设局”）负责辖区内的园林绿化管理工作，并组织实施本制度。</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区建设局下属管理单位（区绿化管理中心、区公园管理中心）、采购代理、监理单位、绿化养护单位、零星施工单位依照各自职责遵照执行。</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第二章  园林绿化项目政府采购</w:t>
      </w:r>
    </w:p>
    <w:p>
      <w:pPr>
        <w:keepNext w:val="0"/>
        <w:keepLines w:val="0"/>
        <w:widowControl w:val="0"/>
        <w:suppressLineNumbers w:val="0"/>
        <w:spacing w:before="0" w:beforeAutospacing="0" w:after="0" w:afterAutospacing="0" w:line="580" w:lineRule="exact"/>
        <w:ind w:left="0" w:right="0" w:firstLine="482"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b/>
          <w:bCs w:val="0"/>
          <w:kern w:val="2"/>
          <w:sz w:val="24"/>
          <w:szCs w:val="24"/>
          <w:highlight w:val="none"/>
          <w:lang w:val="en-US" w:eastAsia="zh-CN" w:bidi="ar"/>
        </w:rPr>
        <w:t>第三条</w:t>
      </w:r>
      <w:r>
        <w:rPr>
          <w:rFonts w:hint="eastAsia" w:asciiTheme="minorEastAsia" w:hAnsiTheme="minorEastAsia" w:eastAsiaTheme="minorEastAsia" w:cstheme="minorEastAsia"/>
          <w:kern w:val="2"/>
          <w:sz w:val="24"/>
          <w:szCs w:val="24"/>
          <w:highlight w:val="none"/>
          <w:lang w:val="en-US" w:eastAsia="zh-CN" w:bidi="ar"/>
        </w:rPr>
        <w:t xml:space="preserve">  园林绿化服务项目需通过政府采购产生各服务单位，招标工作必须遵循公开、公平、公正原则，依据《中华人民共和国招标投标法》发布招标公告，开展政府采购工作。</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政府服务项目需按以下主要采购程序办理：</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（一）制定采购计划</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1、项目经办人根据区财政局核定的部门预算及实际采购需求，编制采购计划。</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2、采购计划经处室负责人审核、分管局领导审批同意后，方可进入招标采购流程。</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（二）选定采购代理</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1、根据国家、省、市政府采购相关法律法规，采购人有权自行选择采购代理机构。</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2、成立采购代理评审小组，小组由局园林绿化处工作人员组成，负责监督采购代理选定全过程，包括资格审核、业绩核实、评分确认。局办公室及局纪检组参与监督，监督采购代理选定按相关规定执行。</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3、采购代理选定采取货比三家法，即对采购代理机构资格等级、实力与资信、代理业绩、市场行为和对本项目编写的采购代理方案进行评定。</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4、投标人按评审打分结果排出前三名，排名第一的为第一中标候选人，排名第二的为第二中标候选人、第三的为第三中标候选人。</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5、单项采购项目须单独召开采购代理机构选定程序，不能一次选定多项采购项目的采购代理机构。</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6、实行采购代理机构的动态管理。对故意隐瞒真相、弄虚作假，或违反采购代理合同的其他行为，3年内不接受采购代理机构申请。</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（三）制定采购文件。采购代理机构负责编制项目采购文件，经项目经办人审查、局法规处会签、处室负责人审核后，呈分管局领导审批。</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（四）采购文件挂网。采购代理机构按照合同约定将已审定并盖章的采购文件挂网，并负责招标全过程。</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（五）开标、评标。采购代理机构根据合同要求，按规范组织开展开标、评标全过程，并将中标结果及时反馈至项目经办人。</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（六）签订合同。根据中标结果和中标确认函，由项目经办人依据采购计划拟定服务合同，经局法规处会签、处室负责人审核，呈分管局领导审批后与中标单位签订服务合同。</w:t>
      </w:r>
    </w:p>
    <w:p>
      <w:pPr>
        <w:keepNext w:val="0"/>
        <w:keepLines w:val="0"/>
        <w:widowControl w:val="0"/>
        <w:suppressLineNumbers w:val="0"/>
        <w:spacing w:before="0" w:beforeAutospacing="0" w:after="0" w:afterAutospacing="0" w:line="580" w:lineRule="exact"/>
        <w:ind w:left="0" w:right="0" w:firstLine="482"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b/>
          <w:bCs w:val="0"/>
          <w:kern w:val="2"/>
          <w:sz w:val="24"/>
          <w:szCs w:val="24"/>
          <w:highlight w:val="none"/>
          <w:lang w:val="en-US" w:eastAsia="zh-CN" w:bidi="ar"/>
        </w:rPr>
        <w:t>第四条</w:t>
      </w:r>
      <w:r>
        <w:rPr>
          <w:rFonts w:hint="eastAsia" w:asciiTheme="minorEastAsia" w:hAnsiTheme="minorEastAsia" w:eastAsiaTheme="minorEastAsia" w:cstheme="minorEastAsia"/>
          <w:kern w:val="2"/>
          <w:sz w:val="24"/>
          <w:szCs w:val="24"/>
          <w:highlight w:val="none"/>
          <w:lang w:val="en-US" w:eastAsia="zh-CN" w:bidi="ar"/>
        </w:rPr>
        <w:t xml:space="preserve">  对于中标单位转包、分包等违法行为，一经查实，无条件取消中标单位的服务合同，5年内不接受采购项目投标申请。</w:t>
      </w:r>
    </w:p>
    <w:p>
      <w:pPr>
        <w:keepNext w:val="0"/>
        <w:keepLines w:val="0"/>
        <w:widowControl w:val="0"/>
        <w:suppressLineNumbers w:val="0"/>
        <w:spacing w:before="0" w:beforeAutospacing="0" w:after="0" w:afterAutospacing="0" w:line="580" w:lineRule="exact"/>
        <w:ind w:left="0" w:right="0" w:firstLine="482"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b/>
          <w:bCs w:val="0"/>
          <w:kern w:val="2"/>
          <w:sz w:val="24"/>
          <w:szCs w:val="24"/>
          <w:highlight w:val="none"/>
          <w:lang w:val="en-US" w:eastAsia="zh-CN" w:bidi="ar"/>
        </w:rPr>
        <w:t>第五条</w:t>
      </w:r>
      <w:r>
        <w:rPr>
          <w:rFonts w:hint="eastAsia" w:asciiTheme="minorEastAsia" w:hAnsiTheme="minorEastAsia" w:eastAsiaTheme="minorEastAsia" w:cstheme="minorEastAsia"/>
          <w:kern w:val="2"/>
          <w:sz w:val="24"/>
          <w:szCs w:val="24"/>
          <w:highlight w:val="none"/>
          <w:lang w:val="en-US" w:eastAsia="zh-CN" w:bidi="ar"/>
        </w:rPr>
        <w:t xml:space="preserve">  若因特殊情况导致项目采购工作拖延，致使园林绿化养护服务工作新旧标不能顺利交接的，按政府采购法相关规定，在不超过合同总金额的10％的情况下，暂由旧标单位继续日常绿化养护，签订养护补充协议。</w:t>
      </w:r>
    </w:p>
    <w:p>
      <w:pPr>
        <w:keepNext w:val="0"/>
        <w:keepLines w:val="0"/>
        <w:widowControl w:val="0"/>
        <w:suppressLineNumbers w:val="0"/>
        <w:spacing w:before="0" w:beforeAutospacing="0" w:after="0" w:afterAutospacing="0" w:line="580" w:lineRule="exact"/>
        <w:ind w:left="0" w:right="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第三章  市政绿化养护管理</w:t>
      </w:r>
    </w:p>
    <w:p>
      <w:pPr>
        <w:keepNext w:val="0"/>
        <w:keepLines w:val="0"/>
        <w:widowControl w:val="0"/>
        <w:suppressLineNumbers w:val="0"/>
        <w:spacing w:before="0" w:beforeAutospacing="0" w:after="0" w:afterAutospacing="0" w:line="580" w:lineRule="exact"/>
        <w:ind w:left="0" w:right="0" w:firstLine="540" w:firstLineChars="224"/>
        <w:jc w:val="both"/>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b/>
          <w:bCs w:val="0"/>
          <w:color w:val="000000"/>
          <w:kern w:val="2"/>
          <w:sz w:val="24"/>
          <w:szCs w:val="24"/>
          <w:highlight w:val="none"/>
          <w:lang w:val="en-US" w:eastAsia="zh-CN" w:bidi="ar"/>
        </w:rPr>
        <w:t>第六条</w:t>
      </w:r>
      <w:r>
        <w:rPr>
          <w:rFonts w:hint="eastAsia" w:asciiTheme="minorEastAsia" w:hAnsiTheme="minorEastAsia" w:eastAsiaTheme="minorEastAsia" w:cstheme="minorEastAsia"/>
          <w:color w:val="000000"/>
          <w:kern w:val="2"/>
          <w:sz w:val="24"/>
          <w:szCs w:val="24"/>
          <w:highlight w:val="none"/>
          <w:lang w:val="en-US" w:eastAsia="zh-CN" w:bidi="ar"/>
        </w:rPr>
        <w:t xml:space="preserve">  各养护单位应严格按《广州市城市道路绿化养护管理质量标准》一级养护标准和</w:t>
      </w:r>
      <w:r>
        <w:rPr>
          <w:rFonts w:hint="eastAsia" w:asciiTheme="minorEastAsia" w:hAnsiTheme="minorEastAsia" w:eastAsiaTheme="minorEastAsia" w:cstheme="minorEastAsia"/>
          <w:kern w:val="2"/>
          <w:sz w:val="24"/>
          <w:szCs w:val="24"/>
          <w:highlight w:val="none"/>
          <w:lang w:val="en-US" w:eastAsia="zh-CN" w:bidi="ar"/>
        </w:rPr>
        <w:t>《广州市城市绿化行道树修剪技术指引》（试行）</w:t>
      </w:r>
      <w:r>
        <w:rPr>
          <w:rFonts w:hint="eastAsia" w:asciiTheme="minorEastAsia" w:hAnsiTheme="minorEastAsia" w:eastAsiaTheme="minorEastAsia" w:cstheme="minorEastAsia"/>
          <w:color w:val="000000"/>
          <w:kern w:val="2"/>
          <w:sz w:val="24"/>
          <w:szCs w:val="24"/>
          <w:highlight w:val="none"/>
          <w:lang w:val="en-US" w:eastAsia="zh-CN" w:bidi="ar"/>
        </w:rPr>
        <w:t>对各自标段园林绿化进行精细化管养；严格按规范落实作业安全及交通疏导措施。各养护单位每月下旬将本月养护记录及下月工作计划报告区绿化管理中心，每次施肥、病虫害防治通知区绿化管理中心现场核实记录，并</w:t>
      </w:r>
      <w:r>
        <w:rPr>
          <w:rFonts w:hint="eastAsia" w:asciiTheme="minorEastAsia" w:hAnsiTheme="minorEastAsia" w:eastAsiaTheme="minorEastAsia" w:cstheme="minorEastAsia"/>
          <w:kern w:val="2"/>
          <w:sz w:val="24"/>
          <w:szCs w:val="24"/>
          <w:highlight w:val="none"/>
          <w:lang w:val="en-US" w:eastAsia="zh-CN" w:bidi="ar"/>
        </w:rPr>
        <w:t>将工作前后及过程拍照存档报区绿化管理中心</w:t>
      </w:r>
      <w:r>
        <w:rPr>
          <w:rFonts w:hint="eastAsia" w:asciiTheme="minorEastAsia" w:hAnsiTheme="minorEastAsia" w:eastAsiaTheme="minorEastAsia" w:cstheme="minorEastAsia"/>
          <w:color w:val="000000"/>
          <w:kern w:val="2"/>
          <w:sz w:val="24"/>
          <w:szCs w:val="24"/>
          <w:highlight w:val="none"/>
          <w:lang w:val="en-US" w:eastAsia="zh-CN" w:bidi="ar"/>
        </w:rPr>
        <w:t>。</w:t>
      </w:r>
    </w:p>
    <w:p>
      <w:pPr>
        <w:keepNext w:val="0"/>
        <w:keepLines w:val="0"/>
        <w:widowControl w:val="0"/>
        <w:suppressLineNumbers w:val="0"/>
        <w:spacing w:before="0" w:beforeAutospacing="0" w:after="0" w:afterAutospacing="0" w:line="580" w:lineRule="exact"/>
        <w:ind w:left="0" w:right="0" w:firstLine="540" w:firstLineChars="224"/>
        <w:jc w:val="both"/>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b/>
          <w:bCs w:val="0"/>
          <w:color w:val="000000"/>
          <w:kern w:val="2"/>
          <w:sz w:val="24"/>
          <w:szCs w:val="24"/>
          <w:highlight w:val="none"/>
          <w:lang w:val="en-US" w:eastAsia="zh-CN" w:bidi="ar"/>
        </w:rPr>
        <w:t>第七条</w:t>
      </w:r>
      <w:r>
        <w:rPr>
          <w:rFonts w:hint="eastAsia" w:asciiTheme="minorEastAsia" w:hAnsiTheme="minorEastAsia" w:eastAsiaTheme="minorEastAsia" w:cstheme="minorEastAsia"/>
          <w:color w:val="000000"/>
          <w:kern w:val="2"/>
          <w:sz w:val="24"/>
          <w:szCs w:val="24"/>
          <w:highlight w:val="none"/>
          <w:lang w:val="en-US" w:eastAsia="zh-CN" w:bidi="ar"/>
        </w:rPr>
        <w:t xml:space="preserve">  各养护单位应开展巡查及应急处置，严重影响区容区貌及存在重大安全隐患的，各养护单位须在1小时内到现场处理并在24小时内完成整改；台风暴雨期间，各养护单位安排专人加强现场巡查力度，发现倾斜、倒伏树木及时扶正并加固支撑，及时消除安全隐患。</w:t>
      </w:r>
    </w:p>
    <w:p>
      <w:pPr>
        <w:keepNext w:val="0"/>
        <w:keepLines w:val="0"/>
        <w:widowControl w:val="0"/>
        <w:suppressLineNumbers w:val="0"/>
        <w:spacing w:before="0" w:beforeAutospacing="0" w:after="0" w:afterAutospacing="0" w:line="580" w:lineRule="exact"/>
        <w:ind w:left="0" w:right="0" w:firstLine="540" w:firstLineChars="224"/>
        <w:jc w:val="both"/>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b/>
          <w:bCs w:val="0"/>
          <w:color w:val="000000"/>
          <w:kern w:val="2"/>
          <w:sz w:val="24"/>
          <w:szCs w:val="24"/>
          <w:highlight w:val="none"/>
          <w:lang w:val="en-US" w:eastAsia="zh-CN" w:bidi="ar"/>
        </w:rPr>
        <w:t>第八条</w:t>
      </w:r>
      <w:r>
        <w:rPr>
          <w:rFonts w:hint="eastAsia" w:asciiTheme="minorEastAsia" w:hAnsiTheme="minorEastAsia" w:eastAsiaTheme="minorEastAsia" w:cstheme="minorEastAsia"/>
          <w:color w:val="000000"/>
          <w:kern w:val="2"/>
          <w:sz w:val="24"/>
          <w:szCs w:val="24"/>
          <w:highlight w:val="none"/>
          <w:lang w:val="en-US" w:eastAsia="zh-CN" w:bidi="ar"/>
        </w:rPr>
        <w:t xml:space="preserve">  局园林绿化处和区绿化管理中心对各服务单位的养护、作业安全、交通疏导、投诉和应急抢险等工作，进行检查、监督和指导。</w:t>
      </w:r>
    </w:p>
    <w:p>
      <w:pPr>
        <w:keepNext w:val="0"/>
        <w:keepLines w:val="0"/>
        <w:widowControl w:val="0"/>
        <w:suppressLineNumbers w:val="0"/>
        <w:spacing w:before="0" w:beforeAutospacing="0" w:after="0" w:afterAutospacing="0" w:line="580" w:lineRule="exact"/>
        <w:ind w:left="-960" w:right="0"/>
        <w:jc w:val="both"/>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 xml:space="preserve">          （一）巡查内容</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养护单位是否按照一级养护标准及修剪技术指引实施养护，包括修剪、施肥、淋水、病虫害防治、乔木涂白等是否按要求落实；是否按要求落实作业安全、交通疏导措施；是否及时落实整改措施并整改到位；是否及时开展应急巡查处置。</w:t>
      </w:r>
    </w:p>
    <w:p>
      <w:pPr>
        <w:keepNext w:val="0"/>
        <w:keepLines w:val="0"/>
        <w:widowControl w:val="0"/>
        <w:suppressLineNumbers w:val="0"/>
        <w:spacing w:before="0" w:beforeAutospacing="0" w:after="0" w:afterAutospacing="0" w:line="580" w:lineRule="exact"/>
        <w:ind w:left="-960" w:right="0"/>
        <w:jc w:val="both"/>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 xml:space="preserve">          （二）分级巡查</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1、各养护单位自查。各养护单位配备专门巡查人员、专用交通工具报区绿化管理中心备案后，每日开展日常巡查，并建立每日养护工作日志，以备区绿化管理中心核查。</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2、区绿化管理中心巡查。片区经办人每周开展巡查并填写巡查报告，对养护单位发出整改通知书，并跟进整改效果；每周开展交叉巡查，片区经办人巡查其他片区，填写巡查报告。</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3、</w:t>
      </w:r>
      <w:r>
        <w:rPr>
          <w:rFonts w:hint="eastAsia" w:asciiTheme="minorEastAsia" w:hAnsiTheme="minorEastAsia" w:eastAsiaTheme="minorEastAsia" w:cstheme="minorEastAsia"/>
          <w:color w:val="000000"/>
          <w:kern w:val="2"/>
          <w:sz w:val="24"/>
          <w:szCs w:val="24"/>
          <w:highlight w:val="none"/>
          <w:lang w:val="en-US" w:eastAsia="zh-CN" w:bidi="ar"/>
        </w:rPr>
        <w:t>局园林绿化处</w:t>
      </w:r>
      <w:r>
        <w:rPr>
          <w:rFonts w:hint="eastAsia" w:asciiTheme="minorEastAsia" w:hAnsiTheme="minorEastAsia" w:eastAsiaTheme="minorEastAsia" w:cstheme="minorEastAsia"/>
          <w:kern w:val="2"/>
          <w:sz w:val="24"/>
          <w:szCs w:val="24"/>
          <w:highlight w:val="none"/>
          <w:lang w:val="en-US" w:eastAsia="zh-CN" w:bidi="ar"/>
        </w:rPr>
        <w:t>经办人巡查。片区经办人每周开展巡查并填写巡查报告，并对养护单位及区绿化管理中心发出整改通知书，并跟进整改效果；每周开展交叉巡查，片区经办人巡查其他片区，填写巡查报告。</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4、综合小组巡查。由</w:t>
      </w:r>
      <w:r>
        <w:rPr>
          <w:rFonts w:hint="eastAsia" w:asciiTheme="minorEastAsia" w:hAnsiTheme="minorEastAsia" w:eastAsiaTheme="minorEastAsia" w:cstheme="minorEastAsia"/>
          <w:color w:val="000000"/>
          <w:kern w:val="2"/>
          <w:sz w:val="24"/>
          <w:szCs w:val="24"/>
          <w:highlight w:val="none"/>
          <w:lang w:val="en-US" w:eastAsia="zh-CN" w:bidi="ar"/>
        </w:rPr>
        <w:t>局园林绿化处</w:t>
      </w:r>
      <w:r>
        <w:rPr>
          <w:rFonts w:hint="eastAsia" w:asciiTheme="minorEastAsia" w:hAnsiTheme="minorEastAsia" w:eastAsiaTheme="minorEastAsia" w:cstheme="minorEastAsia"/>
          <w:kern w:val="2"/>
          <w:sz w:val="24"/>
          <w:szCs w:val="24"/>
          <w:highlight w:val="none"/>
          <w:lang w:val="en-US" w:eastAsia="zh-CN" w:bidi="ar"/>
        </w:rPr>
        <w:t>与区绿化管理中心负责人、经办人每月开展一次综合巡查，填写巡查报告并对养护单位发出整改通知书。</w:t>
      </w:r>
    </w:p>
    <w:p>
      <w:pPr>
        <w:keepNext w:val="0"/>
        <w:keepLines w:val="0"/>
        <w:widowControl w:val="0"/>
        <w:suppressLineNumbers w:val="0"/>
        <w:spacing w:before="0" w:beforeAutospacing="0" w:after="0" w:afterAutospacing="0" w:line="580" w:lineRule="exact"/>
        <w:ind w:left="0" w:right="0" w:firstLine="417" w:firstLineChars="174"/>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（三）整改反馈</w:t>
      </w:r>
    </w:p>
    <w:p>
      <w:pPr>
        <w:keepNext w:val="0"/>
        <w:keepLines w:val="0"/>
        <w:widowControl w:val="0"/>
        <w:suppressLineNumbers w:val="0"/>
        <w:spacing w:before="0" w:beforeAutospacing="0" w:after="0" w:afterAutospacing="0" w:line="580" w:lineRule="exact"/>
        <w:ind w:left="0" w:right="0" w:firstLine="403" w:firstLineChars="168"/>
        <w:jc w:val="both"/>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针对上述巡查过程中发现的问题，各养护单位须严格落实整改，并将整改结果书面报告区绿化管理中心；区绿化管理中心负责整理和监督各养护单位整改情况。</w:t>
      </w:r>
    </w:p>
    <w:p>
      <w:pPr>
        <w:keepNext w:val="0"/>
        <w:keepLines w:val="0"/>
        <w:widowControl w:val="0"/>
        <w:suppressLineNumbers w:val="0"/>
        <w:spacing w:before="0" w:beforeAutospacing="0" w:after="0" w:afterAutospacing="0" w:line="580" w:lineRule="exact"/>
        <w:ind w:left="0" w:right="0" w:firstLine="472" w:firstLineChars="196"/>
        <w:jc w:val="both"/>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b/>
          <w:bCs w:val="0"/>
          <w:color w:val="000000"/>
          <w:kern w:val="2"/>
          <w:sz w:val="24"/>
          <w:szCs w:val="24"/>
          <w:highlight w:val="none"/>
          <w:lang w:val="en-US" w:eastAsia="zh-CN" w:bidi="ar"/>
        </w:rPr>
        <w:t>第九条</w:t>
      </w:r>
      <w:r>
        <w:rPr>
          <w:rFonts w:hint="eastAsia" w:asciiTheme="minorEastAsia" w:hAnsiTheme="minorEastAsia" w:eastAsiaTheme="minorEastAsia" w:cstheme="minorEastAsia"/>
          <w:color w:val="000000"/>
          <w:kern w:val="2"/>
          <w:sz w:val="24"/>
          <w:szCs w:val="24"/>
          <w:highlight w:val="none"/>
          <w:lang w:val="en-US" w:eastAsia="zh-CN" w:bidi="ar"/>
        </w:rPr>
        <w:t xml:space="preserve">  局园林绿化处</w:t>
      </w:r>
      <w:r>
        <w:rPr>
          <w:rFonts w:hint="eastAsia" w:asciiTheme="minorEastAsia" w:hAnsiTheme="minorEastAsia" w:eastAsiaTheme="minorEastAsia" w:cstheme="minorEastAsia"/>
          <w:kern w:val="2"/>
          <w:sz w:val="24"/>
          <w:szCs w:val="24"/>
          <w:highlight w:val="none"/>
          <w:lang w:val="en-US" w:eastAsia="zh-CN" w:bidi="ar"/>
        </w:rPr>
        <w:t>与区绿化管理中心</w:t>
      </w:r>
      <w:r>
        <w:rPr>
          <w:rFonts w:hint="eastAsia" w:asciiTheme="minorEastAsia" w:hAnsiTheme="minorEastAsia" w:eastAsiaTheme="minorEastAsia" w:cstheme="minorEastAsia"/>
          <w:color w:val="000000"/>
          <w:kern w:val="2"/>
          <w:sz w:val="24"/>
          <w:szCs w:val="24"/>
          <w:highlight w:val="none"/>
          <w:lang w:val="en-US" w:eastAsia="zh-CN" w:bidi="ar"/>
        </w:rPr>
        <w:t>对</w:t>
      </w:r>
      <w:r>
        <w:rPr>
          <w:rFonts w:hint="eastAsia" w:asciiTheme="minorEastAsia" w:hAnsiTheme="minorEastAsia" w:eastAsiaTheme="minorEastAsia" w:cstheme="minorEastAsia"/>
          <w:kern w:val="2"/>
          <w:sz w:val="24"/>
          <w:szCs w:val="24"/>
          <w:highlight w:val="none"/>
          <w:lang w:val="en-US" w:eastAsia="zh-CN" w:bidi="ar"/>
        </w:rPr>
        <w:t>各养护单位</w:t>
      </w:r>
      <w:r>
        <w:rPr>
          <w:rFonts w:hint="eastAsia" w:asciiTheme="minorEastAsia" w:hAnsiTheme="minorEastAsia" w:eastAsiaTheme="minorEastAsia" w:cstheme="minorEastAsia"/>
          <w:color w:val="000000"/>
          <w:kern w:val="2"/>
          <w:sz w:val="24"/>
          <w:szCs w:val="24"/>
          <w:highlight w:val="none"/>
          <w:lang w:val="en-US" w:eastAsia="zh-CN" w:bidi="ar"/>
        </w:rPr>
        <w:t>工作实施考核，并根据考核结果进行通报和处罚。考核具体事项如下：</w:t>
      </w:r>
    </w:p>
    <w:p>
      <w:pPr>
        <w:keepNext w:val="0"/>
        <w:keepLines w:val="0"/>
        <w:widowControl w:val="0"/>
        <w:suppressLineNumbers w:val="0"/>
        <w:spacing w:before="0" w:beforeAutospacing="0" w:after="0" w:afterAutospacing="0" w:line="580" w:lineRule="exact"/>
        <w:ind w:left="0" w:right="0" w:firstLine="360" w:firstLineChars="150"/>
        <w:jc w:val="both"/>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（一）考核形式</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包括月度考核和季度考核。区</w:t>
      </w:r>
      <w:r>
        <w:rPr>
          <w:rFonts w:hint="eastAsia" w:asciiTheme="minorEastAsia" w:hAnsiTheme="minorEastAsia" w:eastAsiaTheme="minorEastAsia" w:cstheme="minorEastAsia"/>
          <w:kern w:val="2"/>
          <w:sz w:val="24"/>
          <w:szCs w:val="24"/>
          <w:highlight w:val="none"/>
          <w:lang w:val="en-US" w:eastAsia="zh-CN" w:bidi="ar"/>
        </w:rPr>
        <w:t>绿化管理中心每月对绿化养护工作实施不定期全面量化评分考核，每季度对绿化养护工作实施定期全面量化评分考核，检评考核表须两名或以上人员签名确认。考核内容包括日常巡查、整改情况、应急处置情况、养护质量、作业安全等方面。</w:t>
      </w:r>
      <w:r>
        <w:rPr>
          <w:rFonts w:hint="eastAsia" w:asciiTheme="minorEastAsia" w:hAnsiTheme="minorEastAsia" w:eastAsiaTheme="minorEastAsia" w:cstheme="minorEastAsia"/>
          <w:color w:val="000000"/>
          <w:kern w:val="2"/>
          <w:sz w:val="24"/>
          <w:szCs w:val="24"/>
          <w:highlight w:val="none"/>
          <w:lang w:val="en-US" w:eastAsia="zh-CN" w:bidi="ar"/>
        </w:rPr>
        <w:t>月度考核和季度考核</w:t>
      </w:r>
      <w:r>
        <w:rPr>
          <w:rFonts w:hint="eastAsia" w:asciiTheme="minorEastAsia" w:hAnsiTheme="minorEastAsia" w:eastAsiaTheme="minorEastAsia" w:cstheme="minorEastAsia"/>
          <w:kern w:val="2"/>
          <w:sz w:val="24"/>
          <w:szCs w:val="24"/>
          <w:highlight w:val="none"/>
          <w:lang w:val="en-US" w:eastAsia="zh-CN" w:bidi="ar"/>
        </w:rPr>
        <w:t>结果均作为支付养护费进度款的依据。</w:t>
      </w:r>
    </w:p>
    <w:p>
      <w:pPr>
        <w:keepNext w:val="0"/>
        <w:keepLines w:val="0"/>
        <w:widowControl w:val="0"/>
        <w:suppressLineNumbers w:val="0"/>
        <w:spacing w:before="0" w:beforeAutospacing="0" w:after="0" w:afterAutospacing="0" w:line="580" w:lineRule="exact"/>
        <w:ind w:left="0" w:right="0" w:firstLine="360" w:firstLineChars="150"/>
        <w:jc w:val="both"/>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（二）考核标准</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1、考核扣分标准按《广州市黄埔区、广州开发区市政绿化养护管理检评考核表》执行；</w:t>
      </w:r>
      <w:r>
        <w:rPr>
          <w:rFonts w:hint="eastAsia" w:asciiTheme="minorEastAsia" w:hAnsiTheme="minorEastAsia" w:eastAsiaTheme="minorEastAsia" w:cstheme="minorEastAsia"/>
          <w:color w:val="000000"/>
          <w:kern w:val="2"/>
          <w:sz w:val="24"/>
          <w:szCs w:val="24"/>
          <w:highlight w:val="none"/>
          <w:lang w:val="en-US" w:eastAsia="zh-CN" w:bidi="ar"/>
        </w:rPr>
        <w:t>季度考核</w:t>
      </w:r>
      <w:r>
        <w:rPr>
          <w:rFonts w:hint="eastAsia" w:asciiTheme="minorEastAsia" w:hAnsiTheme="minorEastAsia" w:eastAsiaTheme="minorEastAsia" w:cstheme="minorEastAsia"/>
          <w:kern w:val="2"/>
          <w:sz w:val="24"/>
          <w:szCs w:val="24"/>
          <w:highlight w:val="none"/>
          <w:lang w:val="en-US" w:eastAsia="zh-CN" w:bidi="ar"/>
        </w:rPr>
        <w:t>，根据月度扣分情况评定。</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2、各养护单位对局园林绿化处巡查发现的问题未及时进行整改或整改不到位；存在缺株、死株、倒伏、护树桩残缺等严重问题，或养护单位现场拒绝签字确认的，按《广州市黄埔区、广州开发区市政绿化养护管理检评考核表》双倍扣分。</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3、各养护单位未能及时</w:t>
      </w:r>
      <w:r>
        <w:rPr>
          <w:rFonts w:hint="eastAsia" w:asciiTheme="minorEastAsia" w:hAnsiTheme="minorEastAsia" w:eastAsiaTheme="minorEastAsia" w:cstheme="minorEastAsia"/>
          <w:color w:val="000000"/>
          <w:kern w:val="2"/>
          <w:sz w:val="24"/>
          <w:szCs w:val="24"/>
          <w:highlight w:val="none"/>
          <w:lang w:val="en-US" w:eastAsia="zh-CN" w:bidi="ar"/>
        </w:rPr>
        <w:t>实施应急处置，引起投诉或重大事故等；</w:t>
      </w:r>
      <w:r>
        <w:rPr>
          <w:rFonts w:hint="eastAsia" w:asciiTheme="minorEastAsia" w:hAnsiTheme="minorEastAsia" w:eastAsiaTheme="minorEastAsia" w:cstheme="minorEastAsia"/>
          <w:kern w:val="2"/>
          <w:sz w:val="24"/>
          <w:szCs w:val="24"/>
          <w:highlight w:val="none"/>
          <w:lang w:val="en-US" w:eastAsia="zh-CN" w:bidi="ar"/>
        </w:rPr>
        <w:t>被市林业和园林局在检查中发现问题并进行通报的，或区、局领导在检查中发现问题的，</w:t>
      </w:r>
      <w:r>
        <w:rPr>
          <w:rFonts w:hint="eastAsia" w:asciiTheme="minorEastAsia" w:hAnsiTheme="minorEastAsia" w:eastAsiaTheme="minorEastAsia" w:cstheme="minorEastAsia"/>
          <w:color w:val="000000"/>
          <w:kern w:val="2"/>
          <w:sz w:val="24"/>
          <w:szCs w:val="24"/>
          <w:highlight w:val="none"/>
          <w:lang w:val="en-US" w:eastAsia="zh-CN" w:bidi="ar"/>
        </w:rPr>
        <w:t>按</w:t>
      </w:r>
      <w:r>
        <w:rPr>
          <w:rFonts w:hint="eastAsia" w:asciiTheme="minorEastAsia" w:hAnsiTheme="minorEastAsia" w:eastAsiaTheme="minorEastAsia" w:cstheme="minorEastAsia"/>
          <w:kern w:val="2"/>
          <w:sz w:val="24"/>
          <w:szCs w:val="24"/>
          <w:highlight w:val="none"/>
          <w:lang w:val="en-US" w:eastAsia="zh-CN" w:bidi="ar"/>
        </w:rPr>
        <w:t>《广州市黄埔区、广州开发区市政绿化养护管理检评考核表》</w:t>
      </w:r>
      <w:r>
        <w:rPr>
          <w:rFonts w:hint="eastAsia" w:asciiTheme="minorEastAsia" w:hAnsiTheme="minorEastAsia" w:eastAsiaTheme="minorEastAsia" w:cstheme="minorEastAsia"/>
          <w:color w:val="000000"/>
          <w:kern w:val="2"/>
          <w:sz w:val="24"/>
          <w:szCs w:val="24"/>
          <w:highlight w:val="none"/>
          <w:lang w:val="en-US" w:eastAsia="zh-CN" w:bidi="ar"/>
        </w:rPr>
        <w:t>三倍扣分。</w:t>
      </w:r>
    </w:p>
    <w:p>
      <w:pPr>
        <w:keepNext w:val="0"/>
        <w:keepLines w:val="0"/>
        <w:widowControl w:val="0"/>
        <w:suppressLineNumbers w:val="0"/>
        <w:spacing w:before="0" w:beforeAutospacing="0" w:after="0" w:afterAutospacing="0" w:line="580" w:lineRule="exact"/>
        <w:ind w:left="0" w:right="0" w:firstLine="360" w:firstLineChars="15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（三）处罚措施</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1、每月扣分分值无上限，每1分扣除养护费用人民币100元，根据扣分分值扣除相应金额的养护费用。</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2、月养护扣分在300分以上的，该月养护质量综合考核结果定位不合格。连续三个月考核结果均为不合格或一年内累计不合格次数在5次及以上的，取消其养护资格，解除合同，收回养护任务。</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3、因养护效果差、整改情况不理想，年内经发现三次及以上的养护单位，局园林绿化处将给予书面通报批评；对年内被书面通报批评五次及以上的服务单位，局园林绿化处将上报市林业和园林局进行诚信记录，并列入黑名单，作为后期投标资格审核依据。</w:t>
      </w:r>
    </w:p>
    <w:p>
      <w:pPr>
        <w:keepNext w:val="0"/>
        <w:keepLines w:val="0"/>
        <w:widowControl w:val="0"/>
        <w:suppressLineNumbers w:val="0"/>
        <w:spacing w:before="0" w:beforeAutospacing="0" w:after="0" w:afterAutospacing="0" w:line="580" w:lineRule="exact"/>
        <w:ind w:left="0" w:right="0" w:firstLine="360" w:firstLineChars="15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（四）奖励措施</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每季度根据月度考核结果累计排名，对排名前三名的养护单位奖励相应分值，</w:t>
      </w:r>
      <w:r>
        <w:rPr>
          <w:rFonts w:hint="eastAsia" w:asciiTheme="minorEastAsia" w:hAnsiTheme="minorEastAsia" w:eastAsiaTheme="minorEastAsia" w:cstheme="minorEastAsia"/>
          <w:kern w:val="2"/>
          <w:sz w:val="24"/>
          <w:szCs w:val="24"/>
          <w:highlight w:val="none"/>
          <w:lang w:val="en-US" w:eastAsia="zh-CN" w:bidi="ar"/>
        </w:rPr>
        <w:t>作为支付养护费进度款的依据。</w:t>
      </w:r>
    </w:p>
    <w:p>
      <w:pPr>
        <w:keepNext w:val="0"/>
        <w:keepLines w:val="0"/>
        <w:widowControl w:val="0"/>
        <w:suppressLineNumbers w:val="0"/>
        <w:spacing w:before="0" w:beforeAutospacing="0" w:after="0" w:afterAutospacing="0" w:line="580" w:lineRule="exact"/>
        <w:ind w:left="0" w:right="0" w:firstLine="617"/>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 xml:space="preserve">第四章  公园管理 </w:t>
      </w:r>
    </w:p>
    <w:p>
      <w:pPr>
        <w:keepNext w:val="0"/>
        <w:keepLines w:val="0"/>
        <w:widowControl w:val="0"/>
        <w:suppressLineNumbers w:val="0"/>
        <w:spacing w:before="0" w:beforeAutospacing="0" w:after="0" w:afterAutospacing="0" w:line="580" w:lineRule="exact"/>
        <w:ind w:left="0" w:right="0" w:firstLine="482"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b/>
          <w:bCs w:val="0"/>
          <w:kern w:val="2"/>
          <w:sz w:val="24"/>
          <w:szCs w:val="24"/>
          <w:highlight w:val="none"/>
          <w:lang w:val="en-US" w:eastAsia="zh-CN" w:bidi="ar"/>
        </w:rPr>
        <w:t>第十条</w:t>
      </w:r>
      <w:r>
        <w:rPr>
          <w:rFonts w:hint="eastAsia" w:asciiTheme="minorEastAsia" w:hAnsiTheme="minorEastAsia" w:eastAsiaTheme="minorEastAsia" w:cstheme="minorEastAsia"/>
          <w:kern w:val="2"/>
          <w:sz w:val="24"/>
          <w:szCs w:val="24"/>
          <w:highlight w:val="none"/>
          <w:lang w:val="en-US" w:eastAsia="zh-CN" w:bidi="ar"/>
        </w:rPr>
        <w:t xml:space="preserve">  公园管理主要包括园区内绿化养护管理、房屋和设施管理、园容卫生管理、服务管理、文化活动管理、安全和游园秩序管理、应急管理等。</w:t>
      </w:r>
    </w:p>
    <w:p>
      <w:pPr>
        <w:keepNext w:val="0"/>
        <w:keepLines w:val="0"/>
        <w:widowControl w:val="0"/>
        <w:suppressLineNumbers w:val="0"/>
        <w:spacing w:before="0" w:beforeAutospacing="0" w:after="0" w:afterAutospacing="0" w:line="580" w:lineRule="exact"/>
        <w:ind w:left="0" w:right="0" w:firstLine="482"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b/>
          <w:bCs w:val="0"/>
          <w:kern w:val="2"/>
          <w:sz w:val="24"/>
          <w:szCs w:val="24"/>
          <w:highlight w:val="none"/>
          <w:lang w:val="en-US" w:eastAsia="zh-CN" w:bidi="ar"/>
        </w:rPr>
        <w:t>第十一条</w:t>
      </w:r>
      <w:r>
        <w:rPr>
          <w:rFonts w:hint="eastAsia" w:asciiTheme="minorEastAsia" w:hAnsiTheme="minorEastAsia" w:eastAsiaTheme="minorEastAsia" w:cstheme="minorEastAsia"/>
          <w:kern w:val="2"/>
          <w:sz w:val="24"/>
          <w:szCs w:val="24"/>
          <w:highlight w:val="none"/>
          <w:lang w:val="en-US" w:eastAsia="zh-CN" w:bidi="ar"/>
        </w:rPr>
        <w:t xml:space="preserve"> 公园管理考核</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（一）巡查要求</w:t>
      </w:r>
    </w:p>
    <w:p>
      <w:pPr>
        <w:keepNext w:val="0"/>
        <w:keepLines w:val="0"/>
        <w:widowControl w:val="0"/>
        <w:suppressLineNumbers w:val="0"/>
        <w:spacing w:before="0" w:beforeAutospacing="0" w:after="0" w:afterAutospacing="0" w:line="580" w:lineRule="exact"/>
        <w:ind w:left="0" w:right="0" w:firstLine="504" w:firstLineChars="21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1、局园林绿化处定期对公园进行抽检，每月至少抽检1次，并做好巡查记录，每月下发的整改通知作为月度巡查扣分的依据。</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2、区公园管理中心定期对公园进行全面检查，各公园每月至少抽检1次，并做好巡查记录，形成月度报告报送至局园林管理部门。</w:t>
      </w:r>
    </w:p>
    <w:p>
      <w:pPr>
        <w:keepNext w:val="0"/>
        <w:keepLines w:val="0"/>
        <w:widowControl w:val="0"/>
        <w:suppressLineNumbers w:val="0"/>
        <w:spacing w:before="0" w:beforeAutospacing="0" w:after="0" w:afterAutospacing="0" w:line="580" w:lineRule="exact"/>
        <w:ind w:left="0" w:right="0" w:firstLine="504" w:firstLineChars="21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3、各公园管理人员每天至少1次对公园绿化养护、安全设施、环境卫生等开展巡查，做好巡查日志备查，发现问题须及时组织整改。重大事项须及时向区公园管理中心反映报告。</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（二）管理考核</w:t>
      </w:r>
    </w:p>
    <w:p>
      <w:pPr>
        <w:keepNext w:val="0"/>
        <w:keepLines w:val="0"/>
        <w:widowControl w:val="0"/>
        <w:suppressLineNumbers w:val="0"/>
        <w:spacing w:before="0" w:beforeAutospacing="0" w:after="0" w:afterAutospacing="0" w:line="580" w:lineRule="exact"/>
        <w:ind w:left="0" w:right="0" w:firstLine="504" w:firstLineChars="21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1、以区公园管理中心为主体，实行公园月度考核制度。月度考核设置百分制评比，包括绿化养护管理（30%）、房屋和设施管理（20%)、园容卫生管理(25%)、服务管理(5%)、安全和游园秩序管理(20%），具体事项扣分标准按《广州市黄埔区、广州开发区公园管理检评考核表》执行。考核结果在每月公园例会上进行总结与通报。</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2、对各公园月度考评进行排名，连续三个月得分最低的公园进行通报批评，并纳入后期工作业绩与考核评价；对于年度内通报次数超过3次的公园，根据实际情况，由区公园管理中心向局园林绿化处请示后对公园管理人员进行调整。</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3、对连续三个月得分最高的公园进行表扬，并纳入年度工作表现与考核成绩；对于年度保持6次及以上均最高分的公园，纳入年度考核优秀名单，根据单位实际情况给予一定奖励。</w:t>
      </w:r>
    </w:p>
    <w:p>
      <w:pPr>
        <w:keepNext w:val="0"/>
        <w:keepLines w:val="0"/>
        <w:widowControl w:val="0"/>
        <w:suppressLineNumbers w:val="0"/>
        <w:spacing w:before="0" w:beforeAutospacing="0" w:after="0" w:afterAutospacing="0" w:line="580" w:lineRule="exact"/>
        <w:ind w:left="0" w:right="0" w:firstLine="482" w:firstLineChars="200"/>
        <w:jc w:val="both"/>
        <w:rPr>
          <w:rFonts w:hint="eastAsia" w:asciiTheme="minorEastAsia" w:hAnsiTheme="minorEastAsia" w:eastAsiaTheme="minorEastAsia" w:cstheme="minorEastAsia"/>
          <w:b/>
          <w:bCs w:val="0"/>
          <w:sz w:val="24"/>
          <w:szCs w:val="24"/>
          <w:highlight w:val="none"/>
          <w:lang w:val="en-US"/>
        </w:rPr>
      </w:pPr>
      <w:r>
        <w:rPr>
          <w:rFonts w:hint="eastAsia" w:asciiTheme="minorEastAsia" w:hAnsiTheme="minorEastAsia" w:eastAsiaTheme="minorEastAsia" w:cstheme="minorEastAsia"/>
          <w:b/>
          <w:bCs w:val="0"/>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第五章  零星工程（迁移、复绿、砍伐）管理</w:t>
      </w:r>
    </w:p>
    <w:p>
      <w:pPr>
        <w:keepNext w:val="0"/>
        <w:keepLines w:val="0"/>
        <w:widowControl w:val="0"/>
        <w:suppressLineNumbers w:val="0"/>
        <w:spacing w:before="0" w:beforeAutospacing="0" w:after="0" w:afterAutospacing="0" w:line="580" w:lineRule="exact"/>
        <w:ind w:left="0" w:right="0" w:firstLine="482" w:firstLineChars="200"/>
        <w:jc w:val="both"/>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b/>
          <w:bCs w:val="0"/>
          <w:kern w:val="2"/>
          <w:sz w:val="24"/>
          <w:szCs w:val="24"/>
          <w:highlight w:val="none"/>
          <w:lang w:val="en-US" w:eastAsia="zh-CN" w:bidi="ar"/>
        </w:rPr>
        <w:t>第十二条</w:t>
      </w:r>
      <w:r>
        <w:rPr>
          <w:rFonts w:hint="eastAsia" w:asciiTheme="minorEastAsia" w:hAnsiTheme="minorEastAsia" w:eastAsiaTheme="minorEastAsia" w:cstheme="minorEastAsia"/>
          <w:kern w:val="2"/>
          <w:sz w:val="24"/>
          <w:szCs w:val="24"/>
          <w:highlight w:val="none"/>
          <w:lang w:val="en-US" w:eastAsia="zh-CN" w:bidi="ar"/>
        </w:rPr>
        <w:t xml:space="preserve">  </w:t>
      </w:r>
      <w:r>
        <w:rPr>
          <w:rFonts w:hint="eastAsia" w:asciiTheme="minorEastAsia" w:hAnsiTheme="minorEastAsia" w:eastAsiaTheme="minorEastAsia" w:cstheme="minorEastAsia"/>
          <w:color w:val="000000"/>
          <w:kern w:val="2"/>
          <w:sz w:val="24"/>
          <w:szCs w:val="24"/>
          <w:highlight w:val="none"/>
          <w:lang w:val="en-US" w:eastAsia="zh-CN" w:bidi="ar"/>
        </w:rPr>
        <w:t>零星工程办理程序包括申请、审批、任务单下达、验收、移交和请款。</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（一）根据区领导指示，或</w:t>
      </w:r>
      <w:r>
        <w:rPr>
          <w:rFonts w:hint="eastAsia" w:asciiTheme="minorEastAsia" w:hAnsiTheme="minorEastAsia" w:eastAsiaTheme="minorEastAsia" w:cstheme="minorEastAsia"/>
          <w:kern w:val="2"/>
          <w:sz w:val="24"/>
          <w:szCs w:val="24"/>
          <w:highlight w:val="none"/>
          <w:lang w:val="en-US" w:eastAsia="zh-CN" w:bidi="ar"/>
        </w:rPr>
        <w:t>由政府采购或其他形式确定的服务单位、企业、相关职能部门根据实际需求提出零星工程任务的书面申请，并报送现场照片等资料。</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二）局园林绿化处以任务单或合同的形式下达零星任务，经局园林绿化处经办人审查、处室负责人审核、局领导审批后执行。预算在5万元（含5万元）以下由处长终审；5-20万元（含20万元）由分管局领导终审；20万元以上由局长终审。</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（三）零星工程服务单位应制定施工方案及图纸，经下达任务单后方可进场施工；若特殊情况先行施工后，须一个月内申请补发任务单，工程量以监理单位和施工单位双方现场核实为准；</w:t>
      </w:r>
      <w:r>
        <w:rPr>
          <w:rFonts w:hint="eastAsia" w:asciiTheme="minorEastAsia" w:hAnsiTheme="minorEastAsia" w:eastAsiaTheme="minorEastAsia" w:cstheme="minorEastAsia"/>
          <w:kern w:val="2"/>
          <w:sz w:val="24"/>
          <w:szCs w:val="24"/>
          <w:highlight w:val="none"/>
          <w:lang w:val="en-US" w:eastAsia="zh-CN" w:bidi="ar"/>
        </w:rPr>
        <w:t>特殊情况（迎检、市民投诉等紧急情况）出现工程量变更情况，须及时办理相关变更手续。</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（四）监理单位须加强施工过程及养生期监管，选苗、换土、施肥、迁移等工序安排专人现场旁站，确保施工及养护质量。</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（五）迁移单位必须严格按照《</w:t>
      </w:r>
      <w:r>
        <w:rPr>
          <w:rFonts w:hint="eastAsia" w:asciiTheme="minorEastAsia" w:hAnsiTheme="minorEastAsia" w:eastAsiaTheme="minorEastAsia" w:cstheme="minorEastAsia"/>
          <w:kern w:val="2"/>
          <w:sz w:val="24"/>
          <w:szCs w:val="24"/>
          <w:highlight w:val="none"/>
          <w:lang w:val="en-US" w:eastAsia="zh-CN" w:bidi="ar"/>
        </w:rPr>
        <w:t>广州市黄埔区、</w:t>
      </w:r>
      <w:r>
        <w:rPr>
          <w:rFonts w:hint="eastAsia" w:asciiTheme="minorEastAsia" w:hAnsiTheme="minorEastAsia" w:eastAsiaTheme="minorEastAsia" w:cstheme="minorEastAsia"/>
          <w:color w:val="000000"/>
          <w:kern w:val="2"/>
          <w:sz w:val="24"/>
          <w:szCs w:val="24"/>
          <w:highlight w:val="none"/>
          <w:lang w:val="en-US" w:eastAsia="zh-CN" w:bidi="ar"/>
        </w:rPr>
        <w:t>广州开发区乔木移植技术标准》（附件5）进行苗木移植，建立树木迁移档案并定期提交局园林绿化处存档，加强移植后期养护管理，保证移植树木的成活率。</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（六）工程施工完成后，局园林绿化处、监理单位、施工单位组织现场核实验收，确保绿化施工质量。</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（七）养生期满后一个月内，局园林绿化处、监理单位、养护单位和施工单位现场验收；</w:t>
      </w:r>
      <w:r>
        <w:rPr>
          <w:rFonts w:hint="eastAsia" w:asciiTheme="minorEastAsia" w:hAnsiTheme="minorEastAsia" w:eastAsiaTheme="minorEastAsia" w:cstheme="minorEastAsia"/>
          <w:kern w:val="2"/>
          <w:sz w:val="24"/>
          <w:szCs w:val="24"/>
          <w:highlight w:val="none"/>
          <w:lang w:val="en-US" w:eastAsia="zh-CN" w:bidi="ar"/>
        </w:rPr>
        <w:t>养生期满经竣工验收合格后，由施工单位提交合同或任务单等复印件、验收证明书、监理单位出示的《绿化常维零星工程核实表》后申报零星工程结算送审。由</w:t>
      </w:r>
      <w:r>
        <w:rPr>
          <w:rFonts w:hint="eastAsia" w:asciiTheme="minorEastAsia" w:hAnsiTheme="minorEastAsia" w:eastAsiaTheme="minorEastAsia" w:cstheme="minorEastAsia"/>
          <w:color w:val="000000"/>
          <w:kern w:val="2"/>
          <w:sz w:val="24"/>
          <w:szCs w:val="24"/>
          <w:highlight w:val="none"/>
          <w:lang w:val="en-US" w:eastAsia="zh-CN" w:bidi="ar"/>
        </w:rPr>
        <w:t>局园林绿化处</w:t>
      </w:r>
      <w:r>
        <w:rPr>
          <w:rFonts w:hint="eastAsia" w:asciiTheme="minorEastAsia" w:hAnsiTheme="minorEastAsia" w:eastAsiaTheme="minorEastAsia" w:cstheme="minorEastAsia"/>
          <w:kern w:val="2"/>
          <w:sz w:val="24"/>
          <w:szCs w:val="24"/>
          <w:highlight w:val="none"/>
          <w:lang w:val="en-US" w:eastAsia="zh-CN" w:bidi="ar"/>
        </w:rPr>
        <w:t>填写《部门预算项目支出工程预（结）算送审表》，呈局领导审批后送区财政局审核，区财政局初步审核后出《评审意见书》或《结算审核报告》，由申请单位和我局盖章确认交回区财政局后，区财政局下发《财政投资评审核定通知书》。</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（八）</w:t>
      </w:r>
      <w:r>
        <w:rPr>
          <w:rFonts w:hint="eastAsia" w:asciiTheme="minorEastAsia" w:hAnsiTheme="minorEastAsia" w:eastAsiaTheme="minorEastAsia" w:cstheme="minorEastAsia"/>
          <w:kern w:val="2"/>
          <w:sz w:val="24"/>
          <w:szCs w:val="24"/>
          <w:highlight w:val="none"/>
          <w:lang w:val="en-US" w:eastAsia="zh-CN" w:bidi="ar"/>
        </w:rPr>
        <w:t>施工单位根据《财政投资评审核定通知书》，向</w:t>
      </w:r>
      <w:r>
        <w:rPr>
          <w:rFonts w:hint="eastAsia" w:asciiTheme="minorEastAsia" w:hAnsiTheme="minorEastAsia" w:eastAsiaTheme="minorEastAsia" w:cstheme="minorEastAsia"/>
          <w:color w:val="000000"/>
          <w:kern w:val="2"/>
          <w:sz w:val="24"/>
          <w:szCs w:val="24"/>
          <w:highlight w:val="none"/>
          <w:lang w:val="en-US" w:eastAsia="zh-CN" w:bidi="ar"/>
        </w:rPr>
        <w:t>局</w:t>
      </w:r>
      <w:r>
        <w:rPr>
          <w:rFonts w:hint="eastAsia" w:asciiTheme="minorEastAsia" w:hAnsiTheme="minorEastAsia" w:eastAsiaTheme="minorEastAsia" w:cstheme="minorEastAsia"/>
          <w:kern w:val="2"/>
          <w:sz w:val="24"/>
          <w:szCs w:val="24"/>
          <w:highlight w:val="none"/>
          <w:lang w:val="en-US" w:eastAsia="zh-CN" w:bidi="ar"/>
        </w:rPr>
        <w:t>园林绿化处提交合同、发票及复印件、《财政投资评审核定通知书》原件等证明资料请款。</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（九）局园林绿化处填写《预算单位支出报销凭证》，并附证明材料，经局园林绿化处经办人审查、局办公室财务和处室负责人审核后呈局领导审批。</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（十）局办公室送区国库支付中心下拨款项。</w:t>
      </w:r>
    </w:p>
    <w:p>
      <w:pPr>
        <w:keepNext w:val="0"/>
        <w:keepLines w:val="0"/>
        <w:widowControl w:val="0"/>
        <w:suppressLineNumbers w:val="0"/>
        <w:spacing w:before="0" w:beforeAutospacing="0" w:after="0" w:afterAutospacing="0" w:line="580" w:lineRule="exact"/>
        <w:ind w:left="0" w:right="0" w:firstLine="617"/>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 xml:space="preserve"> </w:t>
      </w:r>
    </w:p>
    <w:p>
      <w:pPr>
        <w:keepNext w:val="0"/>
        <w:keepLines w:val="0"/>
        <w:widowControl w:val="0"/>
        <w:suppressLineNumbers w:val="0"/>
        <w:spacing w:before="0" w:beforeAutospacing="0" w:after="0" w:afterAutospacing="0" w:line="580" w:lineRule="exact"/>
        <w:ind w:left="0" w:right="0"/>
        <w:jc w:val="center"/>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第六章  园林苗圃管理</w:t>
      </w:r>
    </w:p>
    <w:p>
      <w:pPr>
        <w:keepNext w:val="0"/>
        <w:keepLines w:val="0"/>
        <w:widowControl w:val="0"/>
        <w:suppressLineNumbers w:val="0"/>
        <w:spacing w:before="0" w:beforeAutospacing="0" w:after="0" w:afterAutospacing="0" w:line="580" w:lineRule="exact"/>
        <w:ind w:left="0" w:right="0" w:firstLine="482" w:firstLineChars="200"/>
        <w:jc w:val="both"/>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b/>
          <w:bCs w:val="0"/>
          <w:kern w:val="2"/>
          <w:sz w:val="24"/>
          <w:szCs w:val="24"/>
          <w:highlight w:val="none"/>
          <w:lang w:val="en-US" w:eastAsia="zh-CN" w:bidi="ar"/>
        </w:rPr>
        <w:t>第十三条</w:t>
      </w:r>
      <w:r>
        <w:rPr>
          <w:rFonts w:hint="eastAsia" w:asciiTheme="minorEastAsia" w:hAnsiTheme="minorEastAsia" w:eastAsiaTheme="minorEastAsia" w:cstheme="minorEastAsia"/>
          <w:kern w:val="2"/>
          <w:sz w:val="24"/>
          <w:szCs w:val="24"/>
          <w:highlight w:val="none"/>
          <w:lang w:val="en-US" w:eastAsia="zh-CN" w:bidi="ar"/>
        </w:rPr>
        <w:t xml:space="preserve">  </w:t>
      </w:r>
      <w:r>
        <w:rPr>
          <w:rFonts w:hint="eastAsia" w:asciiTheme="minorEastAsia" w:hAnsiTheme="minorEastAsia" w:eastAsiaTheme="minorEastAsia" w:cstheme="minorEastAsia"/>
          <w:color w:val="000000"/>
          <w:kern w:val="2"/>
          <w:sz w:val="24"/>
          <w:szCs w:val="24"/>
          <w:highlight w:val="none"/>
          <w:lang w:val="en-US" w:eastAsia="zh-CN" w:bidi="ar"/>
        </w:rPr>
        <w:t>苗木管理工作由局园林绿化处监督，区绿化管理中心具体负责，包括苗木使用管理、苗木迁移管理、养护和档案管理。</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（一）苗木使用管理</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因城乡建设、城乡基础设施维护或者其他特殊需要使用储备苗木的，建设单位根据我区《</w:t>
      </w:r>
      <w:r>
        <w:rPr>
          <w:rFonts w:hint="eastAsia" w:asciiTheme="minorEastAsia" w:hAnsiTheme="minorEastAsia" w:eastAsiaTheme="minorEastAsia" w:cstheme="minorEastAsia"/>
          <w:kern w:val="2"/>
          <w:sz w:val="24"/>
          <w:szCs w:val="24"/>
          <w:highlight w:val="none"/>
          <w:lang w:val="en-US" w:eastAsia="zh-CN" w:bidi="ar"/>
        </w:rPr>
        <w:t>广州市黄埔区、</w:t>
      </w:r>
      <w:r>
        <w:rPr>
          <w:rFonts w:hint="eastAsia" w:asciiTheme="minorEastAsia" w:hAnsiTheme="minorEastAsia" w:eastAsiaTheme="minorEastAsia" w:cstheme="minorEastAsia"/>
          <w:color w:val="000000"/>
          <w:kern w:val="2"/>
          <w:sz w:val="24"/>
          <w:szCs w:val="24"/>
          <w:highlight w:val="none"/>
          <w:lang w:val="en-US" w:eastAsia="zh-CN" w:bidi="ar"/>
        </w:rPr>
        <w:t>广州开发区储藏苗木使用审批申报指南》规定程序办理。</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（二）苗木迁移管理</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1、</w:t>
      </w:r>
      <w:r>
        <w:rPr>
          <w:rFonts w:hint="eastAsia" w:asciiTheme="minorEastAsia" w:hAnsiTheme="minorEastAsia" w:eastAsiaTheme="minorEastAsia" w:cstheme="minorEastAsia"/>
          <w:kern w:val="2"/>
          <w:sz w:val="24"/>
          <w:szCs w:val="24"/>
          <w:highlight w:val="none"/>
          <w:lang w:val="en-US" w:eastAsia="zh-CN" w:bidi="ar"/>
        </w:rPr>
        <w:t>规范苗木迁移档案管理。公共绿地的苗木迁移，由迁移单位填写《迁移树木情况汇总表》、《树木迁移档案表》，树木迁移档案内容要求详实、全面反映苗木品种、数量、迁移地点等。</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2、加强苗木迁移现场管理。监理单位加强对苗木迁移的现场监督、指导，督促文明施工；局园林绿化处、绿化管理中心不定期对苗木迁移情况进行检查、抽查。</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3、验收及移交。</w:t>
      </w:r>
      <w:r>
        <w:rPr>
          <w:rFonts w:hint="eastAsia" w:asciiTheme="minorEastAsia" w:hAnsiTheme="minorEastAsia" w:eastAsiaTheme="minorEastAsia" w:cstheme="minorEastAsia"/>
          <w:color w:val="000000"/>
          <w:kern w:val="2"/>
          <w:sz w:val="24"/>
          <w:szCs w:val="24"/>
          <w:highlight w:val="none"/>
          <w:lang w:val="en-US" w:eastAsia="zh-CN" w:bidi="ar"/>
        </w:rPr>
        <w:t>养生期满后一个月内，</w:t>
      </w:r>
      <w:r>
        <w:rPr>
          <w:rFonts w:hint="eastAsia" w:asciiTheme="minorEastAsia" w:hAnsiTheme="minorEastAsia" w:eastAsiaTheme="minorEastAsia" w:cstheme="minorEastAsia"/>
          <w:kern w:val="2"/>
          <w:sz w:val="24"/>
          <w:szCs w:val="24"/>
          <w:highlight w:val="none"/>
          <w:lang w:val="en-US" w:eastAsia="zh-CN" w:bidi="ar"/>
        </w:rPr>
        <w:t>局园林绿化处</w:t>
      </w:r>
      <w:r>
        <w:rPr>
          <w:rFonts w:hint="eastAsia" w:asciiTheme="minorEastAsia" w:hAnsiTheme="minorEastAsia" w:eastAsiaTheme="minorEastAsia" w:cstheme="minorEastAsia"/>
          <w:color w:val="000000"/>
          <w:kern w:val="2"/>
          <w:sz w:val="24"/>
          <w:szCs w:val="24"/>
          <w:highlight w:val="none"/>
          <w:lang w:val="en-US" w:eastAsia="zh-CN" w:bidi="ar"/>
        </w:rPr>
        <w:t>、监理单位、养护单位和施工单位现场验收；验收合格一个月内办理养护移交手续。</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（三）</w:t>
      </w:r>
      <w:r>
        <w:rPr>
          <w:rFonts w:hint="eastAsia" w:asciiTheme="minorEastAsia" w:hAnsiTheme="minorEastAsia" w:eastAsiaTheme="minorEastAsia" w:cstheme="minorEastAsia"/>
          <w:color w:val="000000"/>
          <w:kern w:val="2"/>
          <w:sz w:val="24"/>
          <w:szCs w:val="24"/>
          <w:highlight w:val="none"/>
          <w:lang w:val="en-US" w:eastAsia="zh-CN" w:bidi="ar"/>
        </w:rPr>
        <w:t>苗木</w:t>
      </w:r>
      <w:r>
        <w:rPr>
          <w:rFonts w:hint="eastAsia" w:asciiTheme="minorEastAsia" w:hAnsiTheme="minorEastAsia" w:eastAsiaTheme="minorEastAsia" w:cstheme="minorEastAsia"/>
          <w:kern w:val="2"/>
          <w:sz w:val="24"/>
          <w:szCs w:val="24"/>
          <w:highlight w:val="none"/>
          <w:lang w:val="en-US" w:eastAsia="zh-CN" w:bidi="ar"/>
        </w:rPr>
        <w:t>养护管理</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color w:val="000000"/>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苗木养护单位应严格按《广州市城市道路绿化养护管理质量标准》一级养护标准对苗木进行精细化管养；严格按规范落实作业安全措施；养护单位每月下旬将本月养护记录及下月工作计划报告区绿化管理中心，每次施肥、病虫害防治通知区绿化管理中心现场核实记录。</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color w:val="000000"/>
          <w:kern w:val="2"/>
          <w:sz w:val="24"/>
          <w:szCs w:val="24"/>
          <w:highlight w:val="none"/>
          <w:lang w:val="en-US" w:eastAsia="zh-CN" w:bidi="ar"/>
        </w:rPr>
        <w:t>（四）苗木档案管理</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各服务单位须加强苗木档案管理，按要求完善《树木迁移档案表》，记录要求真实、及时、完整、清晰；每半年汇总《树木迁移档案表》，报区绿化管理中心备案。</w:t>
      </w:r>
    </w:p>
    <w:p>
      <w:pPr>
        <w:keepNext w:val="0"/>
        <w:keepLines w:val="0"/>
        <w:widowControl w:val="0"/>
        <w:suppressLineNumbers w:val="0"/>
        <w:spacing w:before="0" w:beforeAutospacing="0" w:after="0" w:afterAutospacing="0" w:line="580" w:lineRule="exact"/>
        <w:ind w:left="0" w:right="0" w:firstLine="480" w:firstLineChars="200"/>
        <w:jc w:val="both"/>
        <w:rPr>
          <w:rFonts w:hint="eastAsia" w:asciiTheme="minorEastAsia" w:hAnsiTheme="minorEastAsia" w:eastAsiaTheme="minorEastAsia" w:cstheme="minorEastAsia"/>
          <w:sz w:val="24"/>
          <w:szCs w:val="24"/>
          <w:highlight w:val="none"/>
          <w:lang w:val="en-US"/>
        </w:rPr>
      </w:pPr>
      <w:r>
        <w:rPr>
          <w:rFonts w:hint="eastAsia" w:asciiTheme="minorEastAsia" w:hAnsiTheme="minorEastAsia" w:eastAsiaTheme="minorEastAsia" w:cstheme="minorEastAsia"/>
          <w:kern w:val="2"/>
          <w:sz w:val="24"/>
          <w:szCs w:val="24"/>
          <w:highlight w:val="none"/>
          <w:lang w:val="en-US" w:eastAsia="zh-CN" w:bidi="ar"/>
        </w:rPr>
        <w:t>（五）苗木养护管理的考核形式、考核标准、处罚和奖励措施参照市政绿化养护管理第九条。</w:t>
      </w:r>
    </w:p>
    <w:p>
      <w:pPr>
        <w:pStyle w:val="6"/>
        <w:keepNext w:val="0"/>
        <w:keepLines w:val="0"/>
        <w:widowControl/>
        <w:suppressLineNumbers w:val="0"/>
        <w:spacing w:before="0" w:beforeAutospacing="0" w:after="0" w:afterAutospacing="0" w:line="580" w:lineRule="exact"/>
        <w:ind w:left="0" w:right="0" w:firstLine="472" w:firstLineChars="196"/>
        <w:jc w:val="both"/>
        <w:rPr>
          <w:rFonts w:hint="eastAsia" w:asciiTheme="minorEastAsia" w:hAnsiTheme="minorEastAsia" w:eastAsiaTheme="minorEastAsia" w:cstheme="minorEastAsia"/>
          <w:kern w:val="0"/>
          <w:sz w:val="24"/>
          <w:szCs w:val="24"/>
          <w:highlight w:val="none"/>
          <w:lang w:val="en-US" w:eastAsia="zh-CN" w:bidi="ar"/>
        </w:rPr>
      </w:pPr>
      <w:r>
        <w:rPr>
          <w:rFonts w:hint="eastAsia" w:asciiTheme="minorEastAsia" w:hAnsiTheme="minorEastAsia" w:eastAsiaTheme="minorEastAsia" w:cstheme="minorEastAsia"/>
          <w:b/>
          <w:bCs w:val="0"/>
          <w:kern w:val="0"/>
          <w:sz w:val="24"/>
          <w:szCs w:val="24"/>
          <w:highlight w:val="none"/>
          <w:lang w:val="en-US" w:eastAsia="zh-CN" w:bidi="ar"/>
        </w:rPr>
        <w:t>第十四条</w:t>
      </w:r>
      <w:r>
        <w:rPr>
          <w:rFonts w:hint="eastAsia" w:asciiTheme="minorEastAsia" w:hAnsiTheme="minorEastAsia" w:eastAsiaTheme="minorEastAsia" w:cstheme="minorEastAsia"/>
          <w:kern w:val="0"/>
          <w:sz w:val="24"/>
          <w:szCs w:val="24"/>
          <w:highlight w:val="none"/>
          <w:lang w:val="en-US" w:eastAsia="zh-CN" w:bidi="ar"/>
        </w:rPr>
        <w:t xml:space="preserve">  本制度由局园林绿化处负责解释，自印发之日起施行。</w:t>
      </w:r>
    </w:p>
    <w:p>
      <w:pPr>
        <w:pStyle w:val="6"/>
        <w:keepNext w:val="0"/>
        <w:keepLines w:val="0"/>
        <w:widowControl/>
        <w:suppressLineNumbers w:val="0"/>
        <w:spacing w:before="0" w:beforeAutospacing="0" w:after="0" w:afterAutospacing="0" w:line="580" w:lineRule="exact"/>
        <w:ind w:right="0"/>
        <w:jc w:val="both"/>
        <w:rPr>
          <w:rFonts w:hint="eastAsia" w:asciiTheme="minorEastAsia" w:hAnsiTheme="minorEastAsia" w:eastAsiaTheme="minorEastAsia" w:cstheme="minorEastAsia"/>
          <w:b/>
          <w:bCs w:val="0"/>
          <w:kern w:val="2"/>
          <w:sz w:val="24"/>
          <w:szCs w:val="24"/>
          <w:highlight w:val="none"/>
          <w:lang w:val="en-US" w:eastAsia="zh-CN" w:bidi="ar"/>
        </w:rPr>
      </w:pPr>
    </w:p>
    <w:p>
      <w:pPr>
        <w:pStyle w:val="6"/>
        <w:keepNext w:val="0"/>
        <w:keepLines w:val="0"/>
        <w:widowControl/>
        <w:suppressLineNumbers w:val="0"/>
        <w:spacing w:before="0" w:beforeAutospacing="0" w:after="0" w:afterAutospacing="0" w:line="580" w:lineRule="exact"/>
        <w:ind w:right="0"/>
        <w:jc w:val="both"/>
        <w:rPr>
          <w:rFonts w:hint="eastAsia" w:asciiTheme="minorEastAsia" w:hAnsiTheme="minorEastAsia" w:eastAsiaTheme="minorEastAsia" w:cstheme="minorEastAsia"/>
          <w:b/>
          <w:bCs w:val="0"/>
          <w:kern w:val="2"/>
          <w:sz w:val="24"/>
          <w:szCs w:val="24"/>
          <w:highlight w:val="none"/>
          <w:lang w:val="en-US" w:eastAsia="zh-CN" w:bidi="ar"/>
        </w:rPr>
      </w:pPr>
    </w:p>
    <w:p>
      <w:pPr>
        <w:pStyle w:val="6"/>
        <w:keepNext w:val="0"/>
        <w:keepLines w:val="0"/>
        <w:widowControl/>
        <w:suppressLineNumbers w:val="0"/>
        <w:spacing w:before="0" w:beforeAutospacing="0" w:after="0" w:afterAutospacing="0" w:line="580" w:lineRule="exact"/>
        <w:ind w:right="0"/>
        <w:jc w:val="both"/>
        <w:rPr>
          <w:rFonts w:hint="eastAsia" w:asciiTheme="minorEastAsia" w:hAnsiTheme="minorEastAsia" w:eastAsiaTheme="minorEastAsia" w:cstheme="minorEastAsia"/>
          <w:b/>
          <w:bCs w:val="0"/>
          <w:kern w:val="2"/>
          <w:sz w:val="24"/>
          <w:szCs w:val="24"/>
          <w:highlight w:val="none"/>
          <w:lang w:val="en-US" w:eastAsia="zh-CN" w:bidi="ar"/>
        </w:rPr>
      </w:pPr>
    </w:p>
    <w:p>
      <w:pPr>
        <w:pStyle w:val="6"/>
        <w:keepNext w:val="0"/>
        <w:keepLines w:val="0"/>
        <w:widowControl/>
        <w:suppressLineNumbers w:val="0"/>
        <w:spacing w:before="0" w:beforeAutospacing="0" w:after="0" w:afterAutospacing="0" w:line="580" w:lineRule="exact"/>
        <w:ind w:right="0"/>
        <w:jc w:val="both"/>
        <w:rPr>
          <w:rFonts w:hint="eastAsia" w:asciiTheme="minorEastAsia" w:hAnsiTheme="minorEastAsia" w:eastAsiaTheme="minorEastAsia" w:cstheme="minorEastAsia"/>
          <w:b/>
          <w:bCs w:val="0"/>
          <w:kern w:val="2"/>
          <w:sz w:val="24"/>
          <w:szCs w:val="24"/>
          <w:highlight w:val="none"/>
          <w:lang w:val="en-US" w:eastAsia="zh-CN" w:bidi="ar"/>
        </w:rPr>
      </w:pPr>
    </w:p>
    <w:p>
      <w:pPr>
        <w:pStyle w:val="6"/>
        <w:keepNext w:val="0"/>
        <w:keepLines w:val="0"/>
        <w:widowControl/>
        <w:suppressLineNumbers w:val="0"/>
        <w:spacing w:before="0" w:beforeAutospacing="0" w:after="0" w:afterAutospacing="0" w:line="580" w:lineRule="exact"/>
        <w:ind w:right="0"/>
        <w:jc w:val="both"/>
        <w:rPr>
          <w:rFonts w:hint="eastAsia" w:asciiTheme="minorEastAsia" w:hAnsiTheme="minorEastAsia" w:eastAsiaTheme="minorEastAsia" w:cstheme="minorEastAsia"/>
          <w:b/>
          <w:bCs w:val="0"/>
          <w:kern w:val="2"/>
          <w:sz w:val="24"/>
          <w:szCs w:val="24"/>
          <w:highlight w:val="none"/>
          <w:lang w:val="en-US" w:eastAsia="zh-CN" w:bidi="ar"/>
        </w:rPr>
      </w:pPr>
    </w:p>
    <w:p>
      <w:pPr>
        <w:pStyle w:val="6"/>
        <w:keepNext w:val="0"/>
        <w:keepLines w:val="0"/>
        <w:widowControl/>
        <w:suppressLineNumbers w:val="0"/>
        <w:spacing w:before="0" w:beforeAutospacing="0" w:after="0" w:afterAutospacing="0" w:line="580" w:lineRule="exact"/>
        <w:ind w:right="0"/>
        <w:jc w:val="both"/>
        <w:rPr>
          <w:rFonts w:hint="eastAsia" w:asciiTheme="minorEastAsia" w:hAnsiTheme="minorEastAsia" w:eastAsiaTheme="minorEastAsia" w:cstheme="minorEastAsia"/>
          <w:b/>
          <w:bCs w:val="0"/>
          <w:kern w:val="2"/>
          <w:sz w:val="24"/>
          <w:szCs w:val="24"/>
          <w:highlight w:val="none"/>
          <w:lang w:val="en-US" w:eastAsia="zh-CN" w:bidi="ar"/>
        </w:rPr>
      </w:pPr>
    </w:p>
    <w:p>
      <w:pPr>
        <w:pStyle w:val="6"/>
        <w:keepNext w:val="0"/>
        <w:keepLines w:val="0"/>
        <w:widowControl/>
        <w:suppressLineNumbers w:val="0"/>
        <w:spacing w:before="0" w:beforeAutospacing="0" w:after="0" w:afterAutospacing="0" w:line="580" w:lineRule="exact"/>
        <w:ind w:right="0"/>
        <w:jc w:val="both"/>
        <w:rPr>
          <w:rFonts w:hint="eastAsia" w:asciiTheme="minorEastAsia" w:hAnsiTheme="minorEastAsia" w:eastAsiaTheme="minorEastAsia" w:cstheme="minorEastAsia"/>
          <w:b/>
          <w:bCs w:val="0"/>
          <w:kern w:val="2"/>
          <w:sz w:val="24"/>
          <w:szCs w:val="24"/>
          <w:highlight w:val="none"/>
          <w:lang w:val="en-US" w:eastAsia="zh-CN" w:bidi="ar"/>
        </w:rPr>
      </w:pPr>
    </w:p>
    <w:p>
      <w:pPr>
        <w:pStyle w:val="6"/>
        <w:keepNext w:val="0"/>
        <w:keepLines w:val="0"/>
        <w:widowControl/>
        <w:suppressLineNumbers w:val="0"/>
        <w:spacing w:before="0" w:beforeAutospacing="0" w:after="0" w:afterAutospacing="0" w:line="580" w:lineRule="exact"/>
        <w:ind w:right="0"/>
        <w:jc w:val="both"/>
        <w:rPr>
          <w:rFonts w:hint="eastAsia" w:asciiTheme="minorEastAsia" w:hAnsiTheme="minorEastAsia" w:eastAsiaTheme="minorEastAsia" w:cstheme="minorEastAsia"/>
          <w:b/>
          <w:bCs w:val="0"/>
          <w:sz w:val="24"/>
          <w:szCs w:val="24"/>
          <w:highlight w:val="none"/>
          <w:lang w:val="en-US"/>
        </w:rPr>
      </w:pPr>
      <w:r>
        <w:rPr>
          <w:rFonts w:hint="eastAsia" w:asciiTheme="minorEastAsia" w:hAnsiTheme="minorEastAsia" w:eastAsiaTheme="minorEastAsia" w:cstheme="minorEastAsia"/>
          <w:b/>
          <w:bCs w:val="0"/>
          <w:kern w:val="2"/>
          <w:sz w:val="24"/>
          <w:szCs w:val="24"/>
          <w:highlight w:val="none"/>
          <w:lang w:val="en-US" w:eastAsia="zh-CN" w:bidi="ar"/>
        </w:rPr>
        <w:t>附件3：</w:t>
      </w:r>
    </w:p>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b/>
          <w:bCs w:val="0"/>
          <w:sz w:val="24"/>
          <w:szCs w:val="24"/>
          <w:highlight w:val="none"/>
          <w:lang w:val="en-US"/>
        </w:rPr>
      </w:pPr>
      <w:r>
        <w:rPr>
          <w:rFonts w:hint="eastAsia" w:asciiTheme="minorEastAsia" w:hAnsiTheme="minorEastAsia" w:eastAsiaTheme="minorEastAsia" w:cstheme="minorEastAsia"/>
          <w:b/>
          <w:bCs w:val="0"/>
          <w:kern w:val="2"/>
          <w:sz w:val="24"/>
          <w:szCs w:val="24"/>
          <w:highlight w:val="none"/>
          <w:lang w:val="en-US" w:eastAsia="zh-CN" w:bidi="ar"/>
        </w:rPr>
        <w:t xml:space="preserve"> </w:t>
      </w:r>
    </w:p>
    <w:p>
      <w:pPr>
        <w:spacing w:line="440" w:lineRule="exact"/>
        <w:jc w:val="center"/>
        <w:rPr>
          <w:rFonts w:hint="eastAsia" w:asciiTheme="minorEastAsia" w:hAnsiTheme="minorEastAsia" w:eastAsiaTheme="minorEastAsia" w:cstheme="minorEastAsia"/>
          <w:b/>
          <w:sz w:val="36"/>
          <w:szCs w:val="36"/>
          <w:highlight w:val="none"/>
        </w:rPr>
      </w:pPr>
      <w:r>
        <w:rPr>
          <w:rFonts w:hint="eastAsia" w:asciiTheme="minorEastAsia" w:hAnsiTheme="minorEastAsia" w:eastAsiaTheme="minorEastAsia" w:cstheme="minorEastAsia"/>
          <w:b/>
          <w:kern w:val="2"/>
          <w:sz w:val="24"/>
          <w:szCs w:val="24"/>
          <w:highlight w:val="none"/>
          <w:lang w:val="en-US" w:eastAsia="zh-CN" w:bidi="ar"/>
        </w:rPr>
        <w:t xml:space="preserve"> </w:t>
      </w:r>
      <w:r>
        <w:rPr>
          <w:rFonts w:hint="eastAsia" w:asciiTheme="minorEastAsia" w:hAnsiTheme="minorEastAsia" w:eastAsiaTheme="minorEastAsia" w:cstheme="minorEastAsia"/>
          <w:b/>
          <w:sz w:val="36"/>
          <w:szCs w:val="36"/>
          <w:highlight w:val="none"/>
        </w:rPr>
        <w:t>广州市黄埔区、广州开发区公园管理</w:t>
      </w:r>
    </w:p>
    <w:p>
      <w:pPr>
        <w:spacing w:line="440" w:lineRule="exact"/>
        <w:jc w:val="center"/>
        <w:rPr>
          <w:rFonts w:hint="eastAsia" w:asciiTheme="minorEastAsia" w:hAnsiTheme="minorEastAsia" w:eastAsiaTheme="minorEastAsia" w:cstheme="minorEastAsia"/>
          <w:b/>
          <w:sz w:val="36"/>
          <w:szCs w:val="36"/>
          <w:highlight w:val="none"/>
        </w:rPr>
      </w:pPr>
      <w:r>
        <w:rPr>
          <w:rFonts w:hint="eastAsia" w:asciiTheme="minorEastAsia" w:hAnsiTheme="minorEastAsia" w:eastAsiaTheme="minorEastAsia" w:cstheme="minorEastAsia"/>
          <w:b/>
          <w:sz w:val="36"/>
          <w:szCs w:val="36"/>
          <w:highlight w:val="none"/>
        </w:rPr>
        <w:t>月度检评考核表—绿化养护</w:t>
      </w:r>
    </w:p>
    <w:p>
      <w:pPr>
        <w:spacing w:line="440" w:lineRule="exact"/>
        <w:jc w:val="left"/>
        <w:rPr>
          <w:rFonts w:hint="eastAsia" w:asciiTheme="minorEastAsia" w:hAnsiTheme="minorEastAsia" w:eastAsiaTheme="minorEastAsia" w:cstheme="minorEastAsia"/>
          <w:szCs w:val="21"/>
          <w:highlight w:val="none"/>
        </w:rPr>
      </w:pPr>
    </w:p>
    <w:p>
      <w:pPr>
        <w:spacing w:line="440" w:lineRule="exact"/>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检评单位（盖章）：             被</w:t>
      </w:r>
      <w:r>
        <w:rPr>
          <w:rFonts w:hint="eastAsia" w:asciiTheme="minorEastAsia" w:hAnsiTheme="minorEastAsia" w:eastAsiaTheme="minorEastAsia" w:cstheme="minorEastAsia"/>
          <w:szCs w:val="21"/>
          <w:highlight w:val="none"/>
          <w:lang w:eastAsia="zh-CN"/>
        </w:rPr>
        <w:t>检评</w:t>
      </w:r>
      <w:r>
        <w:rPr>
          <w:rFonts w:hint="eastAsia" w:asciiTheme="minorEastAsia" w:hAnsiTheme="minorEastAsia" w:eastAsiaTheme="minorEastAsia" w:cstheme="minorEastAsia"/>
          <w:szCs w:val="21"/>
          <w:highlight w:val="none"/>
        </w:rPr>
        <w:t>公司名称：              检评时间：</w:t>
      </w:r>
    </w:p>
    <w:tbl>
      <w:tblPr>
        <w:tblStyle w:val="7"/>
        <w:tblW w:w="8699" w:type="dxa"/>
        <w:jc w:val="center"/>
        <w:tblLayout w:type="fixed"/>
        <w:tblCellMar>
          <w:top w:w="0" w:type="dxa"/>
          <w:left w:w="108" w:type="dxa"/>
          <w:bottom w:w="0" w:type="dxa"/>
          <w:right w:w="108" w:type="dxa"/>
        </w:tblCellMar>
      </w:tblPr>
      <w:tblGrid>
        <w:gridCol w:w="434"/>
        <w:gridCol w:w="984"/>
        <w:gridCol w:w="2152"/>
        <w:gridCol w:w="3600"/>
        <w:gridCol w:w="628"/>
        <w:gridCol w:w="901"/>
      </w:tblGrid>
      <w:tr>
        <w:tblPrEx>
          <w:tblCellMar>
            <w:top w:w="0" w:type="dxa"/>
            <w:left w:w="108" w:type="dxa"/>
            <w:bottom w:w="0" w:type="dxa"/>
            <w:right w:w="108" w:type="dxa"/>
          </w:tblCellMar>
        </w:tblPrEx>
        <w:trPr>
          <w:trHeight w:val="375" w:hRule="atLeast"/>
          <w:tblHeader/>
          <w:jc w:val="center"/>
        </w:trPr>
        <w:tc>
          <w:tcPr>
            <w:tcW w:w="141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分类项目</w:t>
            </w: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6" w:firstLineChars="150"/>
              <w:jc w:val="center"/>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分类小项</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扣分</w:t>
            </w: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hint="eastAsia" w:asciiTheme="minorEastAsia" w:hAnsiTheme="minorEastAsia" w:eastAsiaTheme="minorEastAsia" w:cstheme="minorEastAsia"/>
                <w:b/>
                <w:szCs w:val="21"/>
                <w:highlight w:val="none"/>
              </w:rPr>
            </w:pPr>
            <w:r>
              <w:rPr>
                <w:rFonts w:hint="eastAsia" w:asciiTheme="minorEastAsia" w:hAnsiTheme="minorEastAsia" w:eastAsiaTheme="minorEastAsia" w:cstheme="minorEastAsia"/>
                <w:b/>
                <w:szCs w:val="21"/>
                <w:highlight w:val="none"/>
              </w:rPr>
              <w:t>备注</w:t>
            </w:r>
          </w:p>
        </w:tc>
      </w:tr>
      <w:tr>
        <w:tblPrEx>
          <w:tblCellMar>
            <w:top w:w="0" w:type="dxa"/>
            <w:left w:w="108" w:type="dxa"/>
            <w:bottom w:w="0" w:type="dxa"/>
            <w:right w:w="108" w:type="dxa"/>
          </w:tblCellMar>
        </w:tblPrEx>
        <w:trPr>
          <w:cantSplit/>
          <w:trHeight w:val="570" w:hRule="atLeast"/>
          <w:jc w:val="center"/>
        </w:trPr>
        <w:tc>
          <w:tcPr>
            <w:tcW w:w="4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p>
        </w:tc>
        <w:tc>
          <w:tcPr>
            <w:tcW w:w="9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乔木养护管理</w:t>
            </w:r>
          </w:p>
          <w:p>
            <w:pPr>
              <w:jc w:val="left"/>
              <w:rPr>
                <w:rFonts w:hint="eastAsia" w:asciiTheme="minorEastAsia" w:hAnsiTheme="minorEastAsia" w:eastAsiaTheme="minorEastAsia" w:cstheme="minorEastAsia"/>
                <w:szCs w:val="21"/>
                <w:highlight w:val="none"/>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树木（下垂枝、内堂枝、折损枝、枯枝、病虫枝、遮挡枝及树冠以下不符合景观要求的萌蘖）缺乏修剪或修剪不适当，按每株扣0.1分处理</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570"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kern w:val="0"/>
                <w:szCs w:val="21"/>
                <w:highlight w:val="none"/>
              </w:rPr>
              <w:t>有卫生死角每处扣0.5分；垃圾集中点环境不洁净扣0.5分</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525"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修剪时减少伤口，剪口平不留树钉，擅自对树木重度修剪而影响景观效果的，按每株扣1分处理，并要求更换</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360"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因养分不足而造成树木生长减弱，缺乏生机，叶色偏差，或出现萎蔫现象，按每株扣0.1分处理</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360"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病虫害控制不及时，防治措施不当，造成影响绿化景观和导致死亡的，按每株扣1分处理</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360"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树木死亡或残株、缺株，未及时补植的，按每株扣1分处理（自然灾害等意外死亡除外）</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360"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树穴需适时中耕、松土、除杂草，没按要求规整植树穴、松土，按每株扣0.1分处理</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555"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一般3-5天淋水一次，发现未及时淋水以保证根系层土壤维持适度的含水量，导致萎焉、枯危，按每株扣0.5分处理</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360"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未及时清除树穴杂草、发现寄生藤无及时清除并销毁，按每平方米扣0.5分处理</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360"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台风前未能及时加固支架，导致树木断枝、落叶，倒伏，按每株扣1分处理</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525"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随意绑扎、钉挂钩、悬挂钩、挂杂物在树木，按每株扣0.2分处理（经批准的悬挂彩旗、标语、彩球等除外）</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555"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未及时完成入冬前的树木涂白工作的（一般12月份前完成），漏涂或规定时间内为完成按每株扣0.1分处理</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525" w:hRule="atLeast"/>
          <w:jc w:val="center"/>
        </w:trPr>
        <w:tc>
          <w:tcPr>
            <w:tcW w:w="4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p>
        </w:tc>
        <w:tc>
          <w:tcPr>
            <w:tcW w:w="9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灌木、绿篱(球型、片植)养护管理，其中片灌以平方米为单位计</w:t>
            </w:r>
          </w:p>
          <w:p>
            <w:pPr>
              <w:jc w:val="left"/>
              <w:rPr>
                <w:rFonts w:hint="eastAsia" w:asciiTheme="minorEastAsia" w:hAnsiTheme="minorEastAsia" w:eastAsiaTheme="minorEastAsia" w:cstheme="minorEastAsia"/>
                <w:szCs w:val="21"/>
                <w:highlight w:val="none"/>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灌木每年2-3月进行强修剪1次（植物萌动前），以后每月根据景观要求、品种特性，进行修剪。缺乏修剪或修剪不适当，按每株或每平方米扣0.1分处理</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510"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因养分不足而造成树木生长减弱，缺乏生机，叶色偏差，或出现萎蔫现象，按每株或每平方米扣0.1分处理</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360"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病虫害控制不及时，防治措施不当，造成影响绿化景观和导致死亡的，按每株或每平方米扣1分处理</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360"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灌木死亡或残株、缺株，未及时补植的，按每株或每平方米扣1分处理（自然灾害等意外死亡除外）</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360"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没按要求规整植树穴、松土，按每株或每平方米扣0.1分处理</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510"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每天淋水1-2次（雨季和旱季视天气情况适时调整淋水次数），发现未及时淋水以保证根系层土壤维持适度的含水量，导致萎焉、枯危，按每平方米扣0.5分处理</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360"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未及时清除树穴杂草、发现寄生藤无及时清除并销毁，按每平方米扣0.5分处理</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585"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随意绑扎、钉挂钩、悬挂钩、挂杂物在树木，按每株或每平方米扣0.1分处理（经批准的悬挂彩旗、标语、彩球等除外）</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510" w:hRule="atLeast"/>
          <w:jc w:val="center"/>
        </w:trPr>
        <w:tc>
          <w:tcPr>
            <w:tcW w:w="4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w:t>
            </w:r>
          </w:p>
        </w:tc>
        <w:tc>
          <w:tcPr>
            <w:tcW w:w="9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草坪、地被养护管理（以平方米为单位计）</w:t>
            </w:r>
          </w:p>
          <w:p>
            <w:pPr>
              <w:jc w:val="left"/>
              <w:rPr>
                <w:rFonts w:hint="eastAsia" w:asciiTheme="minorEastAsia" w:hAnsiTheme="minorEastAsia" w:eastAsiaTheme="minorEastAsia" w:cstheme="minorEastAsia"/>
                <w:szCs w:val="21"/>
                <w:highlight w:val="none"/>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缺乏修剪或修剪不适当，按每平方米扣0.1分处理</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360"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因养分不足而造成树木生长减弱，缺乏生机，叶色偏差，或出现萎蔫现象，按每平方米扣0.1分处理</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360"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病虫害控制不及时，防治措施不当，造成影响绿化景观和导致死亡的，按每平方米扣1分处理</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510"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草坪或地被死亡或残株、裸露缺株，未及时补植的，按每平方米扣0.5分处理（自然灾害等意外死亡除外）</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360"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草地平均高度超过10公分以上、澎蜞菊高度超过25厘米以上未及时修剪，按每平方米扣0.1分处理</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510"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地被裸露、死亡或损坏须及时补种（由于不可控制的原因，如行人横穿、频繁践踏等造成的绿地裸露除外），否则，按每平方米扣0.1分处理（不足1平方米按1平方米计）</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540"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发现未及时淋水以保证根系层土壤维持适度的含水量，导致萎焉、枯危，按每平方米扣0.5分处理</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360"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未及时清除杂草（12次/年），发现寄生藤必须马上清除并入袋销毁，按每平方米扣0.5分处理</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360"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草坪地表不平整、凹凸、积水须采取措施处理，未及时平整、填坑哇，按每平方米扣0.1分处理</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360"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草坪边界线不清晰或长出边界，按每米扣0.1分处理（不足1米不计）</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510" w:hRule="atLeast"/>
          <w:jc w:val="center"/>
        </w:trPr>
        <w:tc>
          <w:tcPr>
            <w:tcW w:w="43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w:t>
            </w:r>
          </w:p>
        </w:tc>
        <w:tc>
          <w:tcPr>
            <w:tcW w:w="9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时花养护管理</w:t>
            </w:r>
          </w:p>
          <w:p>
            <w:pPr>
              <w:jc w:val="left"/>
              <w:rPr>
                <w:rFonts w:hint="eastAsia" w:asciiTheme="minorEastAsia" w:hAnsiTheme="minorEastAsia" w:eastAsiaTheme="minorEastAsia" w:cstheme="minorEastAsia"/>
                <w:szCs w:val="21"/>
                <w:highlight w:val="none"/>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时花花冠不整齐、叶片枯黄、长势不良的，每盆或每平方米每天扣0.5分</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360"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病虫害控制不及时，防治措施不当，造成影响绿化景观和导致死亡的，按每平方米扣1分处理</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360"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花卉死亡或残株、缺株，未及时补植的，按每盆或每平方米扣1分处理（自然灾害等意外死亡除外）</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360"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发现未及时淋水以保证根系层土壤维持适度的含水量，导致萎焉、枯危，按每平方米扣0.5分处理</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555"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未及时清除杂草（12次/年），发现寄生藤必须马上清除并入袋销毁，按每平方米扣0.5分处理</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360" w:hRule="atLeast"/>
          <w:jc w:val="center"/>
        </w:trPr>
        <w:tc>
          <w:tcPr>
            <w:tcW w:w="43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9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75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重大节假日与活动时，摆放时花点缀，时花摆放线条不整齐、不流畅，按每盆或每平方米扣1分</w:t>
            </w:r>
          </w:p>
        </w:tc>
        <w:tc>
          <w:tcPr>
            <w:tcW w:w="628"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c>
          <w:tcPr>
            <w:tcW w:w="901" w:type="dxa"/>
            <w:tcBorders>
              <w:top w:val="single" w:color="000000" w:sz="4" w:space="0"/>
              <w:left w:val="single" w:color="000000" w:sz="4" w:space="0"/>
              <w:bottom w:val="single" w:color="000000" w:sz="4" w:space="0"/>
              <w:right w:val="single" w:color="000000"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360" w:hRule="atLeast"/>
          <w:jc w:val="center"/>
        </w:trPr>
        <w:tc>
          <w:tcPr>
            <w:tcW w:w="43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w:t>
            </w:r>
          </w:p>
        </w:tc>
        <w:tc>
          <w:tcPr>
            <w:tcW w:w="98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卫生清洁</w:t>
            </w:r>
          </w:p>
        </w:tc>
        <w:tc>
          <w:tcPr>
            <w:tcW w:w="575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修剪后的枝条、树干残枝、草屑要做到即产即清，没有及时按要求清理，按（每处、堆或每平方米）扣1分处理。发现偷倒修剪垃圾在市政绿地内，按每处扣2分处理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Theme="minorEastAsia" w:hAnsiTheme="minorEastAsia" w:eastAsiaTheme="minorEastAsia" w:cstheme="minorEastAsia"/>
                <w:szCs w:val="21"/>
                <w:highlight w:val="none"/>
              </w:rPr>
            </w:pPr>
          </w:p>
        </w:tc>
        <w:tc>
          <w:tcPr>
            <w:tcW w:w="90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360" w:hRule="atLeast"/>
          <w:jc w:val="center"/>
        </w:trPr>
        <w:tc>
          <w:tcPr>
            <w:tcW w:w="43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98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75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管理区域内有明显垃圾、余泥、砖石、瓦渣等杂物，按每处扣2分处理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Theme="minorEastAsia" w:hAnsiTheme="minorEastAsia" w:eastAsiaTheme="minorEastAsia" w:cstheme="minorEastAsia"/>
                <w:szCs w:val="21"/>
                <w:highlight w:val="none"/>
              </w:rPr>
            </w:pPr>
          </w:p>
        </w:tc>
        <w:tc>
          <w:tcPr>
            <w:tcW w:w="90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360" w:hRule="atLeast"/>
          <w:jc w:val="center"/>
        </w:trPr>
        <w:tc>
          <w:tcPr>
            <w:tcW w:w="43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6</w:t>
            </w:r>
          </w:p>
        </w:tc>
        <w:tc>
          <w:tcPr>
            <w:tcW w:w="98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其他</w:t>
            </w:r>
          </w:p>
          <w:p>
            <w:pPr>
              <w:jc w:val="left"/>
              <w:rPr>
                <w:rFonts w:hint="eastAsia" w:asciiTheme="minorEastAsia" w:hAnsiTheme="minorEastAsia" w:eastAsiaTheme="minorEastAsia" w:cstheme="minorEastAsia"/>
                <w:szCs w:val="21"/>
                <w:highlight w:val="none"/>
              </w:rPr>
            </w:pPr>
          </w:p>
        </w:tc>
        <w:tc>
          <w:tcPr>
            <w:tcW w:w="575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绿化工人必须文明上岗，没有着装工服或着装拖鞋、衣裳不整等每人每次扣0.2分处理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c>
          <w:tcPr>
            <w:tcW w:w="90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360" w:hRule="atLeast"/>
          <w:jc w:val="center"/>
        </w:trPr>
        <w:tc>
          <w:tcPr>
            <w:tcW w:w="43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98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75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在岗人数不足，每缺1人扣2分（事先请假的除处）</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c>
          <w:tcPr>
            <w:tcW w:w="90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360" w:hRule="atLeast"/>
          <w:jc w:val="center"/>
        </w:trPr>
        <w:tc>
          <w:tcPr>
            <w:tcW w:w="43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98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75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工作期间，擅自离岗，每人每次扣0.3分处理；发现串岗、闲谈、睡觉等现象，每人每次扣0.1分处理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c>
          <w:tcPr>
            <w:tcW w:w="90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360" w:hRule="atLeast"/>
          <w:jc w:val="center"/>
        </w:trPr>
        <w:tc>
          <w:tcPr>
            <w:tcW w:w="43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98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75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工作工具未能按统一指定地点摆放，随意乱堆乱放影响公园景观的，每处扣0.2分处理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c>
          <w:tcPr>
            <w:tcW w:w="90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360" w:hRule="atLeast"/>
          <w:jc w:val="center"/>
        </w:trPr>
        <w:tc>
          <w:tcPr>
            <w:tcW w:w="43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98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75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未能按时提交月度（25日前）、季度、年度工作小结及计划、考勤表，每项每次扣0.5分处理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c>
          <w:tcPr>
            <w:tcW w:w="90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trHeight w:val="375" w:hRule="atLeast"/>
          <w:jc w:val="center"/>
        </w:trPr>
        <w:tc>
          <w:tcPr>
            <w:tcW w:w="7170" w:type="dxa"/>
            <w:gridSpan w:val="4"/>
            <w:tcBorders>
              <w:top w:val="single" w:color="auto" w:sz="4" w:space="0"/>
              <w:left w:val="single" w:color="auto" w:sz="4" w:space="0"/>
              <w:bottom w:val="single" w:color="auto" w:sz="4" w:space="0"/>
              <w:right w:val="single" w:color="auto" w:sz="4" w:space="0"/>
            </w:tcBorders>
            <w:noWrap w:val="0"/>
            <w:vAlign w:val="top"/>
          </w:tcPr>
          <w:p>
            <w:pPr>
              <w:pStyle w:val="5"/>
              <w:widowControl/>
              <w:ind w:firstLine="3150" w:firstLineChars="1500"/>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lang w:eastAsia="zh-CN"/>
              </w:rPr>
              <w:t>累</w:t>
            </w:r>
            <w:r>
              <w:rPr>
                <w:rFonts w:hint="eastAsia" w:asciiTheme="minorEastAsia" w:hAnsiTheme="minorEastAsia" w:eastAsiaTheme="minorEastAsia" w:cstheme="minorEastAsia"/>
                <w:highlight w:val="none"/>
                <w:lang w:val="en-US" w:eastAsia="zh-CN"/>
              </w:rPr>
              <w:t xml:space="preserve"> </w:t>
            </w:r>
            <w:r>
              <w:rPr>
                <w:rFonts w:hint="eastAsia" w:asciiTheme="minorEastAsia" w:hAnsiTheme="minorEastAsia" w:eastAsiaTheme="minorEastAsia" w:cstheme="minorEastAsia"/>
                <w:highlight w:val="none"/>
                <w:lang w:eastAsia="zh-CN"/>
              </w:rPr>
              <w:t>计</w:t>
            </w:r>
            <w:r>
              <w:rPr>
                <w:rFonts w:hint="eastAsia" w:asciiTheme="minorEastAsia" w:hAnsiTheme="minorEastAsia" w:eastAsiaTheme="minorEastAsia" w:cstheme="minorEastAsia"/>
                <w:highlight w:val="none"/>
                <w:lang w:val="en-US" w:eastAsia="zh-CN"/>
              </w:rPr>
              <w:t xml:space="preserve"> </w:t>
            </w:r>
            <w:r>
              <w:rPr>
                <w:rFonts w:hint="eastAsia" w:asciiTheme="minorEastAsia" w:hAnsiTheme="minorEastAsia" w:eastAsiaTheme="minorEastAsia" w:cstheme="minorEastAsia"/>
                <w:highlight w:val="none"/>
                <w:lang w:eastAsia="zh-CN"/>
              </w:rPr>
              <w:t>扣</w:t>
            </w:r>
            <w:r>
              <w:rPr>
                <w:rFonts w:hint="eastAsia" w:asciiTheme="minorEastAsia" w:hAnsiTheme="minorEastAsia" w:eastAsiaTheme="minorEastAsia" w:cstheme="minorEastAsia"/>
                <w:highlight w:val="none"/>
              </w:rPr>
              <w:t xml:space="preserve"> 分</w:t>
            </w:r>
          </w:p>
        </w:tc>
        <w:tc>
          <w:tcPr>
            <w:tcW w:w="1529" w:type="dxa"/>
            <w:gridSpan w:val="2"/>
            <w:tcBorders>
              <w:top w:val="single" w:color="auto" w:sz="4" w:space="0"/>
              <w:left w:val="single" w:color="auto" w:sz="4" w:space="0"/>
              <w:bottom w:val="single" w:color="auto" w:sz="4" w:space="0"/>
              <w:right w:val="single" w:color="auto" w:sz="4" w:space="0"/>
            </w:tcBorders>
            <w:noWrap w:val="0"/>
            <w:vAlign w:val="top"/>
          </w:tcPr>
          <w:p>
            <w:pPr>
              <w:pStyle w:val="5"/>
              <w:widowControl/>
              <w:rPr>
                <w:rFonts w:hint="eastAsia" w:asciiTheme="minorEastAsia" w:hAnsiTheme="minorEastAsia" w:eastAsiaTheme="minorEastAsia" w:cstheme="minorEastAsia"/>
                <w:highlight w:val="none"/>
              </w:rPr>
            </w:pPr>
          </w:p>
        </w:tc>
      </w:tr>
      <w:tr>
        <w:tblPrEx>
          <w:tblCellMar>
            <w:top w:w="0" w:type="dxa"/>
            <w:left w:w="108" w:type="dxa"/>
            <w:bottom w:w="0" w:type="dxa"/>
            <w:right w:w="108" w:type="dxa"/>
          </w:tblCellMar>
        </w:tblPrEx>
        <w:trPr>
          <w:trHeight w:val="1018" w:hRule="atLeast"/>
          <w:jc w:val="center"/>
        </w:trPr>
        <w:tc>
          <w:tcPr>
            <w:tcW w:w="3570" w:type="dxa"/>
            <w:gridSpan w:val="3"/>
            <w:tcBorders>
              <w:top w:val="single" w:color="auto" w:sz="4" w:space="0"/>
              <w:left w:val="single" w:color="auto" w:sz="4" w:space="0"/>
              <w:bottom w:val="single" w:color="auto" w:sz="4" w:space="0"/>
              <w:right w:val="single" w:color="auto" w:sz="4" w:space="0"/>
            </w:tcBorders>
            <w:noWrap w:val="0"/>
            <w:vAlign w:val="center"/>
          </w:tcPr>
          <w:p>
            <w:pPr>
              <w:pStyle w:val="5"/>
              <w:widowControl/>
              <w:jc w:val="center"/>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其他需说明情况</w:t>
            </w:r>
          </w:p>
        </w:tc>
        <w:tc>
          <w:tcPr>
            <w:tcW w:w="5129" w:type="dxa"/>
            <w:gridSpan w:val="3"/>
            <w:tcBorders>
              <w:top w:val="single" w:color="auto" w:sz="4" w:space="0"/>
              <w:left w:val="single" w:color="auto" w:sz="4" w:space="0"/>
              <w:bottom w:val="single" w:color="auto" w:sz="4" w:space="0"/>
              <w:right w:val="single" w:color="auto" w:sz="4" w:space="0"/>
            </w:tcBorders>
            <w:noWrap w:val="0"/>
            <w:vAlign w:val="top"/>
          </w:tcPr>
          <w:p>
            <w:pPr>
              <w:pStyle w:val="5"/>
              <w:widowControl/>
              <w:rPr>
                <w:rFonts w:hint="eastAsia" w:asciiTheme="minorEastAsia" w:hAnsiTheme="minorEastAsia" w:eastAsiaTheme="minorEastAsia" w:cstheme="minorEastAsia"/>
                <w:highlight w:val="none"/>
              </w:rPr>
            </w:pPr>
          </w:p>
        </w:tc>
      </w:tr>
    </w:tbl>
    <w:p>
      <w:pPr>
        <w:pStyle w:val="5"/>
        <w:widowControl/>
        <w:rPr>
          <w:rFonts w:hint="eastAsia" w:asciiTheme="minorEastAsia" w:hAnsiTheme="minorEastAsia" w:eastAsiaTheme="minorEastAsia" w:cstheme="minorEastAsia"/>
          <w:highlight w:val="none"/>
        </w:rPr>
      </w:pPr>
    </w:p>
    <w:p>
      <w:pPr>
        <w:pStyle w:val="5"/>
        <w:widowControl/>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 xml:space="preserve">受检单位参评人员（签名）： </w:t>
      </w:r>
      <w:r>
        <w:rPr>
          <w:rFonts w:hint="eastAsia" w:asciiTheme="minorEastAsia" w:hAnsiTheme="minorEastAsia" w:eastAsiaTheme="minorEastAsia" w:cstheme="minorEastAsia"/>
          <w:highlight w:val="none"/>
        </w:rPr>
        <w:tab/>
      </w:r>
      <w:r>
        <w:rPr>
          <w:rFonts w:hint="eastAsia" w:asciiTheme="minorEastAsia" w:hAnsiTheme="minorEastAsia" w:eastAsiaTheme="minorEastAsia" w:cstheme="minorEastAsia"/>
          <w:highlight w:val="none"/>
        </w:rPr>
        <w:t xml:space="preserve">                   检评单位检评人员</w:t>
      </w:r>
      <w:r>
        <w:rPr>
          <w:rFonts w:hint="eastAsia" w:asciiTheme="minorEastAsia" w:hAnsiTheme="minorEastAsia" w:eastAsiaTheme="minorEastAsia" w:cstheme="minorEastAsia"/>
          <w:kern w:val="2"/>
          <w:sz w:val="21"/>
          <w:szCs w:val="21"/>
          <w:highlight w:val="none"/>
          <w:lang w:eastAsia="zh-CN"/>
        </w:rPr>
        <w:t>（签名）</w:t>
      </w:r>
      <w:r>
        <w:rPr>
          <w:rFonts w:hint="eastAsia" w:asciiTheme="minorEastAsia" w:hAnsiTheme="minorEastAsia" w:eastAsiaTheme="minorEastAsia" w:cstheme="minorEastAsia"/>
          <w:highlight w:val="none"/>
        </w:rPr>
        <w:t>：</w:t>
      </w:r>
    </w:p>
    <w:p>
      <w:pPr>
        <w:pStyle w:val="5"/>
        <w:widowControl/>
        <w:spacing w:line="360" w:lineRule="auto"/>
        <w:rPr>
          <w:rFonts w:hint="eastAsia" w:asciiTheme="minorEastAsia" w:hAnsiTheme="minorEastAsia" w:eastAsiaTheme="minorEastAsia" w:cstheme="minorEastAsia"/>
          <w:highlight w:val="none"/>
        </w:rPr>
      </w:pPr>
    </w:p>
    <w:p>
      <w:pPr>
        <w:pStyle w:val="5"/>
        <w:widowControl/>
        <w:spacing w:line="360" w:lineRule="auto"/>
        <w:jc w:val="left"/>
        <w:rPr>
          <w:rFonts w:hint="eastAsia" w:asciiTheme="minorEastAsia" w:hAnsiTheme="minorEastAsia" w:eastAsiaTheme="minorEastAsia" w:cstheme="minorEastAsia"/>
          <w:b/>
          <w:sz w:val="36"/>
          <w:szCs w:val="36"/>
          <w:highlight w:val="none"/>
        </w:rPr>
      </w:pPr>
      <w:r>
        <w:rPr>
          <w:rFonts w:hint="eastAsia" w:asciiTheme="minorEastAsia" w:hAnsiTheme="minorEastAsia" w:eastAsiaTheme="minorEastAsia" w:cstheme="minorEastAsia"/>
          <w:highlight w:val="none"/>
        </w:rPr>
        <w:t>受检单位负责人（签名）：                        检评单位负责人（签名）：</w:t>
      </w:r>
    </w:p>
    <w:p>
      <w:pPr>
        <w:pStyle w:val="5"/>
        <w:widowControl/>
        <w:jc w:val="center"/>
        <w:rPr>
          <w:rFonts w:hint="eastAsia" w:asciiTheme="minorEastAsia" w:hAnsiTheme="minorEastAsia" w:eastAsiaTheme="minorEastAsia" w:cstheme="minorEastAsia"/>
          <w:b/>
          <w:sz w:val="36"/>
          <w:szCs w:val="36"/>
          <w:highlight w:val="none"/>
        </w:rPr>
      </w:pPr>
    </w:p>
    <w:p>
      <w:pPr>
        <w:widowControl/>
        <w:ind w:firstLine="1807" w:firstLineChars="500"/>
        <w:jc w:val="both"/>
        <w:rPr>
          <w:rFonts w:hint="eastAsia" w:asciiTheme="minorEastAsia" w:hAnsiTheme="minorEastAsia" w:eastAsiaTheme="minorEastAsia" w:cstheme="minorEastAsia"/>
          <w:b/>
          <w:sz w:val="36"/>
          <w:szCs w:val="36"/>
          <w:highlight w:val="none"/>
        </w:rPr>
      </w:pPr>
      <w:r>
        <w:rPr>
          <w:rFonts w:hint="eastAsia" w:asciiTheme="minorEastAsia" w:hAnsiTheme="minorEastAsia" w:eastAsiaTheme="minorEastAsia" w:cstheme="minorEastAsia"/>
          <w:b/>
          <w:sz w:val="36"/>
          <w:szCs w:val="36"/>
          <w:highlight w:val="none"/>
        </w:rPr>
        <w:br w:type="page"/>
      </w:r>
      <w:r>
        <w:rPr>
          <w:rFonts w:hint="eastAsia" w:asciiTheme="minorEastAsia" w:hAnsiTheme="minorEastAsia" w:eastAsiaTheme="minorEastAsia" w:cstheme="minorEastAsia"/>
          <w:b/>
          <w:sz w:val="36"/>
          <w:szCs w:val="36"/>
          <w:highlight w:val="none"/>
        </w:rPr>
        <w:t>广州市黄埔区、广州开发区公园管理</w:t>
      </w:r>
    </w:p>
    <w:p>
      <w:pPr>
        <w:pStyle w:val="5"/>
        <w:widowControl/>
        <w:jc w:val="center"/>
        <w:rPr>
          <w:rFonts w:hint="eastAsia" w:asciiTheme="minorEastAsia" w:hAnsiTheme="minorEastAsia" w:eastAsiaTheme="minorEastAsia" w:cstheme="minorEastAsia"/>
          <w:b/>
          <w:sz w:val="36"/>
          <w:szCs w:val="36"/>
          <w:highlight w:val="none"/>
        </w:rPr>
      </w:pPr>
      <w:r>
        <w:rPr>
          <w:rFonts w:hint="eastAsia" w:asciiTheme="minorEastAsia" w:hAnsiTheme="minorEastAsia" w:eastAsiaTheme="minorEastAsia" w:cstheme="minorEastAsia"/>
          <w:b/>
          <w:sz w:val="36"/>
          <w:szCs w:val="36"/>
          <w:highlight w:val="none"/>
        </w:rPr>
        <w:t>月度检评考核表—房屋和设施</w:t>
      </w:r>
    </w:p>
    <w:p>
      <w:pPr>
        <w:rPr>
          <w:rFonts w:hint="eastAsia" w:asciiTheme="minorEastAsia" w:hAnsiTheme="minorEastAsia" w:eastAsiaTheme="minorEastAsia" w:cstheme="minorEastAsia"/>
          <w:szCs w:val="21"/>
          <w:highlight w:val="none"/>
        </w:rPr>
      </w:pPr>
    </w:p>
    <w:p>
      <w:pPr>
        <w:spacing w:line="440" w:lineRule="exact"/>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检评单位（盖章）：             被</w:t>
      </w:r>
      <w:r>
        <w:rPr>
          <w:rFonts w:hint="eastAsia" w:asciiTheme="minorEastAsia" w:hAnsiTheme="minorEastAsia" w:eastAsiaTheme="minorEastAsia" w:cstheme="minorEastAsia"/>
          <w:szCs w:val="21"/>
          <w:highlight w:val="none"/>
          <w:lang w:eastAsia="zh-CN"/>
        </w:rPr>
        <w:t>检评</w:t>
      </w:r>
      <w:r>
        <w:rPr>
          <w:rFonts w:hint="eastAsia" w:asciiTheme="minorEastAsia" w:hAnsiTheme="minorEastAsia" w:eastAsiaTheme="minorEastAsia" w:cstheme="minorEastAsia"/>
          <w:szCs w:val="21"/>
          <w:highlight w:val="none"/>
        </w:rPr>
        <w:t>公司名称：              检评时间：</w:t>
      </w:r>
      <w:r>
        <w:rPr>
          <w:rFonts w:hint="eastAsia" w:asciiTheme="minorEastAsia" w:hAnsiTheme="minorEastAsia" w:eastAsiaTheme="minorEastAsia" w:cstheme="minorEastAsia"/>
          <w:kern w:val="0"/>
          <w:sz w:val="24"/>
          <w:szCs w:val="20"/>
          <w:highlight w:val="none"/>
        </w:rPr>
        <w:t xml:space="preserve"> </w:t>
      </w:r>
    </w:p>
    <w:tbl>
      <w:tblPr>
        <w:tblStyle w:val="7"/>
        <w:tblW w:w="8431" w:type="dxa"/>
        <w:jc w:val="center"/>
        <w:tblLayout w:type="fixed"/>
        <w:tblCellMar>
          <w:top w:w="0" w:type="dxa"/>
          <w:left w:w="108" w:type="dxa"/>
          <w:bottom w:w="0" w:type="dxa"/>
          <w:right w:w="108" w:type="dxa"/>
        </w:tblCellMar>
      </w:tblPr>
      <w:tblGrid>
        <w:gridCol w:w="450"/>
        <w:gridCol w:w="889"/>
        <w:gridCol w:w="2096"/>
        <w:gridCol w:w="3466"/>
        <w:gridCol w:w="628"/>
        <w:gridCol w:w="902"/>
      </w:tblGrid>
      <w:tr>
        <w:tblPrEx>
          <w:tblCellMar>
            <w:top w:w="0" w:type="dxa"/>
            <w:left w:w="108" w:type="dxa"/>
            <w:bottom w:w="0" w:type="dxa"/>
            <w:right w:w="108" w:type="dxa"/>
          </w:tblCellMar>
        </w:tblPrEx>
        <w:trPr>
          <w:cantSplit/>
          <w:trHeight w:val="585" w:hRule="atLeast"/>
          <w:jc w:val="center"/>
        </w:trPr>
        <w:tc>
          <w:tcPr>
            <w:tcW w:w="1339"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b/>
                <w:szCs w:val="21"/>
                <w:highlight w:val="none"/>
              </w:rPr>
              <w:t>分类项目</w:t>
            </w:r>
          </w:p>
        </w:tc>
        <w:tc>
          <w:tcPr>
            <w:tcW w:w="556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6" w:firstLineChars="150"/>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b/>
                <w:szCs w:val="21"/>
                <w:highlight w:val="none"/>
              </w:rPr>
              <w:t>分类小项</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b/>
                <w:szCs w:val="21"/>
                <w:highlight w:val="none"/>
              </w:rPr>
              <w:t>扣分</w:t>
            </w: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b/>
                <w:szCs w:val="21"/>
                <w:highlight w:val="none"/>
              </w:rPr>
              <w:t>备注</w:t>
            </w:r>
          </w:p>
        </w:tc>
      </w:tr>
      <w:tr>
        <w:tblPrEx>
          <w:tblCellMar>
            <w:top w:w="0" w:type="dxa"/>
            <w:left w:w="108" w:type="dxa"/>
            <w:bottom w:w="0" w:type="dxa"/>
            <w:right w:w="108" w:type="dxa"/>
          </w:tblCellMar>
        </w:tblPrEx>
        <w:trPr>
          <w:cantSplit/>
          <w:trHeight w:val="585" w:hRule="atLeast"/>
          <w:jc w:val="center"/>
        </w:trPr>
        <w:tc>
          <w:tcPr>
            <w:tcW w:w="45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right="315" w:firstLine="105" w:firstLineChars="50"/>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p>
        </w:tc>
        <w:tc>
          <w:tcPr>
            <w:tcW w:w="88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left"/>
              <w:rPr>
                <w:rFonts w:hint="eastAsia" w:asciiTheme="minorEastAsia" w:hAnsiTheme="minorEastAsia" w:eastAsiaTheme="minorEastAsia" w:cstheme="minorEastAsia"/>
                <w:szCs w:val="21"/>
                <w:highlight w:val="none"/>
              </w:rPr>
            </w:pPr>
          </w:p>
          <w:p>
            <w:pPr>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房屋</w:t>
            </w:r>
          </w:p>
          <w:p>
            <w:pPr>
              <w:jc w:val="left"/>
              <w:rPr>
                <w:rFonts w:hint="eastAsia" w:asciiTheme="minorEastAsia" w:hAnsiTheme="minorEastAsia" w:eastAsiaTheme="minorEastAsia" w:cstheme="minorEastAsia"/>
                <w:szCs w:val="21"/>
                <w:highlight w:val="none"/>
              </w:rPr>
            </w:pPr>
          </w:p>
        </w:tc>
        <w:tc>
          <w:tcPr>
            <w:tcW w:w="556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私自改变公园内园建用途，私自出租或用作私人用途，一旦发现通报评判，处罚落实到个人或单位并扣20分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Theme="minorEastAsia" w:hAnsiTheme="minorEastAsia" w:eastAsiaTheme="minorEastAsia" w:cstheme="minorEastAsia"/>
                <w:szCs w:val="21"/>
                <w:highlight w:val="none"/>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585" w:hRule="atLeast"/>
          <w:jc w:val="center"/>
        </w:trPr>
        <w:tc>
          <w:tcPr>
            <w:tcW w:w="4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88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56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未经过主管局同意随意增设临时商业网点扣5分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Theme="minorEastAsia" w:hAnsiTheme="minorEastAsia" w:eastAsiaTheme="minorEastAsia" w:cstheme="minorEastAsia"/>
                <w:szCs w:val="21"/>
                <w:highlight w:val="none"/>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585" w:hRule="atLeast"/>
          <w:jc w:val="center"/>
        </w:trPr>
        <w:tc>
          <w:tcPr>
            <w:tcW w:w="4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88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56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商业摊点经营门口随意摆放商品，随意悬挂、张贴、摆放商业广告的扣2分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Theme="minorEastAsia" w:hAnsiTheme="minorEastAsia" w:eastAsiaTheme="minorEastAsia" w:cstheme="minorEastAsia"/>
                <w:szCs w:val="21"/>
                <w:highlight w:val="none"/>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585" w:hRule="atLeast"/>
          <w:jc w:val="center"/>
        </w:trPr>
        <w:tc>
          <w:tcPr>
            <w:tcW w:w="4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88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56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商业超出工商部门核准的经营范围经营且公园管理人员没有进行举报制止者扣5分，商业缺乏经营许可证、卫生许可证扣分3分，没有摆放在显著位置明示扣2分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Theme="minorEastAsia" w:hAnsiTheme="minorEastAsia" w:eastAsiaTheme="minorEastAsia" w:cstheme="minorEastAsia"/>
                <w:szCs w:val="21"/>
                <w:highlight w:val="none"/>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585" w:hRule="atLeast"/>
          <w:jc w:val="center"/>
        </w:trPr>
        <w:tc>
          <w:tcPr>
            <w:tcW w:w="4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88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56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有乱搭、乱建，违法建设现象的扣1分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Theme="minorEastAsia" w:hAnsiTheme="minorEastAsia" w:eastAsiaTheme="minorEastAsia" w:cstheme="minorEastAsia"/>
                <w:szCs w:val="21"/>
                <w:highlight w:val="none"/>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360" w:hRule="atLeast"/>
          <w:jc w:val="center"/>
        </w:trPr>
        <w:tc>
          <w:tcPr>
            <w:tcW w:w="45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p>
        </w:tc>
        <w:tc>
          <w:tcPr>
            <w:tcW w:w="889"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设施</w:t>
            </w:r>
          </w:p>
          <w:p>
            <w:pPr>
              <w:widowControl/>
              <w:jc w:val="left"/>
              <w:rPr>
                <w:rFonts w:hint="eastAsia" w:asciiTheme="minorEastAsia" w:hAnsiTheme="minorEastAsia" w:eastAsiaTheme="minorEastAsia" w:cstheme="minorEastAsia"/>
                <w:kern w:val="0"/>
                <w:szCs w:val="21"/>
                <w:highlight w:val="none"/>
              </w:rPr>
            </w:pPr>
          </w:p>
        </w:tc>
        <w:tc>
          <w:tcPr>
            <w:tcW w:w="556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公共引导信息及警示标识、标志不合理、不规范的扣1分；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Theme="minorEastAsia" w:hAnsiTheme="minorEastAsia" w:eastAsiaTheme="minorEastAsia" w:cstheme="minorEastAsia"/>
                <w:szCs w:val="21"/>
                <w:highlight w:val="none"/>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360" w:hRule="atLeast"/>
          <w:jc w:val="center"/>
        </w:trPr>
        <w:tc>
          <w:tcPr>
            <w:tcW w:w="4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88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56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门、窗、墙、柱油漆严重剥落、有破损且影响景观的每发现一次扣0.5分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Theme="minorEastAsia" w:hAnsiTheme="minorEastAsia" w:eastAsiaTheme="minorEastAsia" w:cstheme="minorEastAsia"/>
                <w:szCs w:val="21"/>
                <w:highlight w:val="none"/>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360" w:hRule="atLeast"/>
          <w:jc w:val="center"/>
        </w:trPr>
        <w:tc>
          <w:tcPr>
            <w:tcW w:w="4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88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56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园内设施（垃圾桶、园凳、园灯、水龙头、标识牌、灭火器等）未及时维护，无法正常使用的每发现一次扣1分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Theme="minorEastAsia" w:hAnsiTheme="minorEastAsia" w:eastAsiaTheme="minorEastAsia" w:cstheme="minorEastAsia"/>
                <w:szCs w:val="21"/>
                <w:highlight w:val="none"/>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90" w:hRule="atLeast"/>
          <w:jc w:val="center"/>
        </w:trPr>
        <w:tc>
          <w:tcPr>
            <w:tcW w:w="4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88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56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园内设施（垃圾桶、园凳、园灯、水龙头、标识牌、灭火器等）缺失每发现一次扣2分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Theme="minorEastAsia" w:hAnsiTheme="minorEastAsia" w:eastAsiaTheme="minorEastAsia" w:cstheme="minorEastAsia"/>
                <w:szCs w:val="21"/>
                <w:highlight w:val="none"/>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360" w:hRule="atLeast"/>
          <w:jc w:val="center"/>
        </w:trPr>
        <w:tc>
          <w:tcPr>
            <w:tcW w:w="4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88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56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垃圾箱数量不充足，摆放位置不正确，扣0.5分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Theme="minorEastAsia" w:hAnsiTheme="minorEastAsia" w:eastAsiaTheme="minorEastAsia" w:cstheme="minorEastAsia"/>
                <w:szCs w:val="21"/>
                <w:highlight w:val="none"/>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360" w:hRule="atLeast"/>
          <w:jc w:val="center"/>
        </w:trPr>
        <w:tc>
          <w:tcPr>
            <w:tcW w:w="4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889"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56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雨水井盖、排水沟、电缆井盖等缺失扣2分，损害并未及时修复扣1分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Theme="minorEastAsia" w:hAnsiTheme="minorEastAsia" w:eastAsiaTheme="minorEastAsia" w:cstheme="minorEastAsia"/>
                <w:szCs w:val="21"/>
                <w:highlight w:val="none"/>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639" w:hRule="atLeast"/>
          <w:jc w:val="center"/>
        </w:trPr>
        <w:tc>
          <w:tcPr>
            <w:tcW w:w="45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w:t>
            </w:r>
          </w:p>
        </w:tc>
        <w:tc>
          <w:tcPr>
            <w:tcW w:w="889"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其他</w:t>
            </w:r>
          </w:p>
          <w:p>
            <w:pPr>
              <w:jc w:val="left"/>
              <w:rPr>
                <w:rFonts w:hint="eastAsia" w:asciiTheme="minorEastAsia" w:hAnsiTheme="minorEastAsia" w:eastAsiaTheme="minorEastAsia" w:cstheme="minorEastAsia"/>
                <w:szCs w:val="21"/>
                <w:highlight w:val="none"/>
              </w:rPr>
            </w:pPr>
          </w:p>
        </w:tc>
        <w:tc>
          <w:tcPr>
            <w:tcW w:w="5562"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未能按时提交月度（25日前）、季度、年度工作小结及修缮维护计划、考勤表，每项每次扣0.5分处理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Theme="minorEastAsia" w:hAnsiTheme="minorEastAsia" w:eastAsiaTheme="minorEastAsia" w:cstheme="minorEastAsia"/>
                <w:szCs w:val="21"/>
                <w:highlight w:val="none"/>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trHeight w:val="448" w:hRule="atLeast"/>
          <w:jc w:val="center"/>
        </w:trPr>
        <w:tc>
          <w:tcPr>
            <w:tcW w:w="6901" w:type="dxa"/>
            <w:gridSpan w:val="4"/>
            <w:tcBorders>
              <w:top w:val="single" w:color="auto" w:sz="4" w:space="0"/>
              <w:left w:val="single" w:color="auto" w:sz="4" w:space="0"/>
              <w:bottom w:val="single" w:color="auto" w:sz="4" w:space="0"/>
              <w:right w:val="single" w:color="auto" w:sz="4" w:space="0"/>
            </w:tcBorders>
            <w:noWrap w:val="0"/>
            <w:vAlign w:val="center"/>
          </w:tcPr>
          <w:p>
            <w:pPr>
              <w:pStyle w:val="5"/>
              <w:widowControl/>
              <w:jc w:val="center"/>
              <w:rPr>
                <w:rFonts w:hint="eastAsia" w:asciiTheme="minorEastAsia" w:hAnsiTheme="minorEastAsia" w:eastAsiaTheme="minorEastAsia" w:cstheme="minorEastAsia"/>
                <w:b/>
                <w:sz w:val="44"/>
                <w:szCs w:val="44"/>
                <w:highlight w:val="none"/>
              </w:rPr>
            </w:pPr>
            <w:r>
              <w:rPr>
                <w:rFonts w:hint="eastAsia" w:asciiTheme="minorEastAsia" w:hAnsiTheme="minorEastAsia" w:eastAsiaTheme="minorEastAsia" w:cstheme="minorEastAsia"/>
                <w:highlight w:val="none"/>
                <w:lang w:eastAsia="zh-CN"/>
              </w:rPr>
              <w:t>累</w:t>
            </w:r>
            <w:r>
              <w:rPr>
                <w:rFonts w:hint="eastAsia" w:asciiTheme="minorEastAsia" w:hAnsiTheme="minorEastAsia" w:eastAsiaTheme="minorEastAsia" w:cstheme="minorEastAsia"/>
                <w:highlight w:val="none"/>
                <w:lang w:val="en-US" w:eastAsia="zh-CN"/>
              </w:rPr>
              <w:t xml:space="preserve"> </w:t>
            </w:r>
            <w:r>
              <w:rPr>
                <w:rFonts w:hint="eastAsia" w:asciiTheme="minorEastAsia" w:hAnsiTheme="minorEastAsia" w:eastAsiaTheme="minorEastAsia" w:cstheme="minorEastAsia"/>
                <w:highlight w:val="none"/>
                <w:lang w:eastAsia="zh-CN"/>
              </w:rPr>
              <w:t>计</w:t>
            </w:r>
            <w:r>
              <w:rPr>
                <w:rFonts w:hint="eastAsia" w:asciiTheme="minorEastAsia" w:hAnsiTheme="minorEastAsia" w:eastAsiaTheme="minorEastAsia" w:cstheme="minorEastAsia"/>
                <w:highlight w:val="none"/>
                <w:lang w:val="en-US" w:eastAsia="zh-CN"/>
              </w:rPr>
              <w:t xml:space="preserve"> </w:t>
            </w:r>
            <w:r>
              <w:rPr>
                <w:rFonts w:hint="eastAsia" w:asciiTheme="minorEastAsia" w:hAnsiTheme="minorEastAsia" w:eastAsiaTheme="minorEastAsia" w:cstheme="minorEastAsia"/>
                <w:highlight w:val="none"/>
                <w:lang w:eastAsia="zh-CN"/>
              </w:rPr>
              <w:t>扣</w:t>
            </w:r>
            <w:r>
              <w:rPr>
                <w:rFonts w:hint="eastAsia" w:asciiTheme="minorEastAsia" w:hAnsiTheme="minorEastAsia" w:eastAsiaTheme="minorEastAsia" w:cstheme="minorEastAsia"/>
                <w:highlight w:val="none"/>
                <w:lang w:val="en-US" w:eastAsia="zh-CN"/>
              </w:rPr>
              <w:t xml:space="preserve"> </w:t>
            </w:r>
            <w:r>
              <w:rPr>
                <w:rFonts w:hint="eastAsia" w:asciiTheme="minorEastAsia" w:hAnsiTheme="minorEastAsia" w:eastAsiaTheme="minorEastAsia" w:cstheme="minorEastAsia"/>
                <w:highlight w:val="none"/>
              </w:rPr>
              <w:t>分</w:t>
            </w:r>
          </w:p>
        </w:tc>
        <w:tc>
          <w:tcPr>
            <w:tcW w:w="1530" w:type="dxa"/>
            <w:gridSpan w:val="2"/>
            <w:tcBorders>
              <w:top w:val="single" w:color="auto" w:sz="4" w:space="0"/>
              <w:left w:val="single" w:color="auto" w:sz="4" w:space="0"/>
              <w:bottom w:val="single" w:color="auto" w:sz="4" w:space="0"/>
              <w:right w:val="single" w:color="auto" w:sz="4" w:space="0"/>
            </w:tcBorders>
            <w:noWrap w:val="0"/>
            <w:vAlign w:val="top"/>
          </w:tcPr>
          <w:p>
            <w:pPr>
              <w:pStyle w:val="5"/>
              <w:widowControl/>
              <w:jc w:val="center"/>
              <w:rPr>
                <w:rFonts w:hint="eastAsia" w:asciiTheme="minorEastAsia" w:hAnsiTheme="minorEastAsia" w:eastAsiaTheme="minorEastAsia" w:cstheme="minorEastAsia"/>
                <w:highlight w:val="none"/>
              </w:rPr>
            </w:pPr>
          </w:p>
        </w:tc>
      </w:tr>
      <w:tr>
        <w:tblPrEx>
          <w:tblCellMar>
            <w:top w:w="0" w:type="dxa"/>
            <w:left w:w="108" w:type="dxa"/>
            <w:bottom w:w="0" w:type="dxa"/>
            <w:right w:w="108" w:type="dxa"/>
          </w:tblCellMar>
        </w:tblPrEx>
        <w:trPr>
          <w:trHeight w:val="1263" w:hRule="atLeast"/>
          <w:jc w:val="center"/>
        </w:trPr>
        <w:tc>
          <w:tcPr>
            <w:tcW w:w="3435" w:type="dxa"/>
            <w:gridSpan w:val="3"/>
            <w:tcBorders>
              <w:top w:val="single" w:color="auto" w:sz="4" w:space="0"/>
              <w:left w:val="single" w:color="auto" w:sz="4" w:space="0"/>
              <w:bottom w:val="single" w:color="auto" w:sz="4" w:space="0"/>
              <w:right w:val="single" w:color="auto" w:sz="4" w:space="0"/>
            </w:tcBorders>
            <w:noWrap w:val="0"/>
            <w:vAlign w:val="center"/>
          </w:tcPr>
          <w:p>
            <w:pPr>
              <w:pStyle w:val="5"/>
              <w:widowControl/>
              <w:jc w:val="center"/>
              <w:rPr>
                <w:rFonts w:hint="eastAsia" w:asciiTheme="minorEastAsia" w:hAnsiTheme="minorEastAsia" w:eastAsiaTheme="minorEastAsia" w:cstheme="minorEastAsia"/>
                <w:b/>
                <w:sz w:val="44"/>
                <w:szCs w:val="44"/>
                <w:highlight w:val="none"/>
              </w:rPr>
            </w:pPr>
            <w:r>
              <w:rPr>
                <w:rFonts w:hint="eastAsia" w:asciiTheme="minorEastAsia" w:hAnsiTheme="minorEastAsia" w:eastAsiaTheme="minorEastAsia" w:cstheme="minorEastAsia"/>
                <w:highlight w:val="none"/>
              </w:rPr>
              <w:t>其他需说明的情况</w:t>
            </w:r>
          </w:p>
        </w:tc>
        <w:tc>
          <w:tcPr>
            <w:tcW w:w="4996" w:type="dxa"/>
            <w:gridSpan w:val="3"/>
            <w:tcBorders>
              <w:top w:val="single" w:color="auto" w:sz="4" w:space="0"/>
              <w:left w:val="single" w:color="auto" w:sz="4" w:space="0"/>
              <w:bottom w:val="single" w:color="auto" w:sz="4" w:space="0"/>
              <w:right w:val="single" w:color="auto" w:sz="4" w:space="0"/>
            </w:tcBorders>
            <w:noWrap w:val="0"/>
            <w:vAlign w:val="top"/>
          </w:tcPr>
          <w:p>
            <w:pPr>
              <w:pStyle w:val="5"/>
              <w:widowControl/>
              <w:jc w:val="center"/>
              <w:rPr>
                <w:rFonts w:hint="eastAsia" w:asciiTheme="minorEastAsia" w:hAnsiTheme="minorEastAsia" w:eastAsiaTheme="minorEastAsia" w:cstheme="minorEastAsia"/>
                <w:b/>
                <w:sz w:val="44"/>
                <w:szCs w:val="44"/>
                <w:highlight w:val="none"/>
              </w:rPr>
            </w:pPr>
          </w:p>
        </w:tc>
      </w:tr>
    </w:tbl>
    <w:p>
      <w:pPr>
        <w:pStyle w:val="5"/>
        <w:widowControl/>
        <w:rPr>
          <w:rFonts w:hint="eastAsia" w:asciiTheme="minorEastAsia" w:hAnsiTheme="minorEastAsia" w:eastAsiaTheme="minorEastAsia" w:cstheme="minorEastAsia"/>
          <w:highlight w:val="none"/>
        </w:rPr>
      </w:pPr>
    </w:p>
    <w:p>
      <w:pPr>
        <w:pStyle w:val="5"/>
        <w:widowControl/>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 xml:space="preserve">受检单位参评人员（签名）： </w:t>
      </w:r>
      <w:r>
        <w:rPr>
          <w:rFonts w:hint="eastAsia" w:asciiTheme="minorEastAsia" w:hAnsiTheme="minorEastAsia" w:eastAsiaTheme="minorEastAsia" w:cstheme="minorEastAsia"/>
          <w:highlight w:val="none"/>
        </w:rPr>
        <w:tab/>
      </w:r>
      <w:r>
        <w:rPr>
          <w:rFonts w:hint="eastAsia" w:asciiTheme="minorEastAsia" w:hAnsiTheme="minorEastAsia" w:eastAsiaTheme="minorEastAsia" w:cstheme="minorEastAsia"/>
          <w:highlight w:val="none"/>
        </w:rPr>
        <w:t xml:space="preserve">                   检评单位检评人员</w:t>
      </w:r>
      <w:r>
        <w:rPr>
          <w:rFonts w:hint="eastAsia" w:asciiTheme="minorEastAsia" w:hAnsiTheme="minorEastAsia" w:eastAsiaTheme="minorEastAsia" w:cstheme="minorEastAsia"/>
          <w:kern w:val="2"/>
          <w:sz w:val="21"/>
          <w:szCs w:val="21"/>
          <w:highlight w:val="none"/>
          <w:lang w:eastAsia="zh-CN"/>
        </w:rPr>
        <w:t>（签名）</w:t>
      </w:r>
      <w:r>
        <w:rPr>
          <w:rFonts w:hint="eastAsia" w:asciiTheme="minorEastAsia" w:hAnsiTheme="minorEastAsia" w:eastAsiaTheme="minorEastAsia" w:cstheme="minorEastAsia"/>
          <w:highlight w:val="none"/>
        </w:rPr>
        <w:t>：</w:t>
      </w:r>
    </w:p>
    <w:p>
      <w:pPr>
        <w:pStyle w:val="5"/>
        <w:widowControl/>
        <w:spacing w:line="360" w:lineRule="auto"/>
        <w:rPr>
          <w:rFonts w:hint="eastAsia" w:asciiTheme="minorEastAsia" w:hAnsiTheme="minorEastAsia" w:eastAsiaTheme="minorEastAsia" w:cstheme="minorEastAsia"/>
          <w:highlight w:val="none"/>
        </w:rPr>
      </w:pPr>
    </w:p>
    <w:p>
      <w:pPr>
        <w:pStyle w:val="5"/>
        <w:widowControl/>
        <w:spacing w:line="360" w:lineRule="auto"/>
        <w:jc w:val="both"/>
        <w:rPr>
          <w:rFonts w:hint="eastAsia" w:asciiTheme="minorEastAsia" w:hAnsiTheme="minorEastAsia" w:eastAsiaTheme="minorEastAsia" w:cstheme="minorEastAsia"/>
          <w:b/>
          <w:sz w:val="36"/>
          <w:szCs w:val="36"/>
          <w:highlight w:val="none"/>
        </w:rPr>
      </w:pPr>
      <w:r>
        <w:rPr>
          <w:rFonts w:hint="eastAsia" w:asciiTheme="minorEastAsia" w:hAnsiTheme="minorEastAsia" w:eastAsiaTheme="minorEastAsia" w:cstheme="minorEastAsia"/>
          <w:highlight w:val="none"/>
        </w:rPr>
        <w:t>受检单位负责人（签名）：                        检评单位负责人（签名）：</w:t>
      </w:r>
      <w:r>
        <w:rPr>
          <w:rFonts w:hint="eastAsia" w:asciiTheme="minorEastAsia" w:hAnsiTheme="minorEastAsia" w:eastAsiaTheme="minorEastAsia" w:cstheme="minorEastAsia"/>
          <w:b/>
          <w:sz w:val="36"/>
          <w:szCs w:val="36"/>
          <w:highlight w:val="none"/>
        </w:rPr>
        <w:br w:type="page"/>
      </w:r>
      <w:r>
        <w:rPr>
          <w:rFonts w:hint="eastAsia" w:asciiTheme="minorEastAsia" w:hAnsiTheme="minorEastAsia" w:eastAsiaTheme="minorEastAsia" w:cstheme="minorEastAsia"/>
          <w:b/>
          <w:sz w:val="36"/>
          <w:szCs w:val="36"/>
          <w:highlight w:val="none"/>
          <w:lang w:val="en-US" w:eastAsia="zh-CN"/>
        </w:rPr>
        <w:t xml:space="preserve">          </w:t>
      </w:r>
      <w:r>
        <w:rPr>
          <w:rFonts w:hint="eastAsia" w:asciiTheme="minorEastAsia" w:hAnsiTheme="minorEastAsia" w:eastAsiaTheme="minorEastAsia" w:cstheme="minorEastAsia"/>
          <w:b/>
          <w:sz w:val="36"/>
          <w:szCs w:val="36"/>
          <w:highlight w:val="none"/>
        </w:rPr>
        <w:t>广州市黄埔区、广州开发区公园管理</w:t>
      </w:r>
    </w:p>
    <w:p>
      <w:pPr>
        <w:pStyle w:val="5"/>
        <w:widowControl/>
        <w:jc w:val="center"/>
        <w:rPr>
          <w:rFonts w:hint="eastAsia" w:asciiTheme="minorEastAsia" w:hAnsiTheme="minorEastAsia" w:eastAsiaTheme="minorEastAsia" w:cstheme="minorEastAsia"/>
          <w:b/>
          <w:sz w:val="36"/>
          <w:szCs w:val="36"/>
          <w:highlight w:val="none"/>
        </w:rPr>
      </w:pPr>
      <w:r>
        <w:rPr>
          <w:rFonts w:hint="eastAsia" w:asciiTheme="minorEastAsia" w:hAnsiTheme="minorEastAsia" w:eastAsiaTheme="minorEastAsia" w:cstheme="minorEastAsia"/>
          <w:b/>
          <w:sz w:val="36"/>
          <w:szCs w:val="36"/>
          <w:highlight w:val="none"/>
        </w:rPr>
        <w:t>月度检评考核表—安全和游园秩序</w:t>
      </w:r>
    </w:p>
    <w:p>
      <w:pPr>
        <w:rPr>
          <w:rFonts w:hint="eastAsia" w:asciiTheme="minorEastAsia" w:hAnsiTheme="minorEastAsia" w:eastAsiaTheme="minorEastAsia" w:cstheme="minorEastAsia"/>
          <w:szCs w:val="21"/>
          <w:highlight w:val="none"/>
        </w:rPr>
      </w:pPr>
    </w:p>
    <w:p>
      <w:pPr>
        <w:spacing w:line="440" w:lineRule="exact"/>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检评单位（盖章）：             被</w:t>
      </w:r>
      <w:r>
        <w:rPr>
          <w:rFonts w:hint="eastAsia" w:asciiTheme="minorEastAsia" w:hAnsiTheme="minorEastAsia" w:eastAsiaTheme="minorEastAsia" w:cstheme="minorEastAsia"/>
          <w:szCs w:val="21"/>
          <w:highlight w:val="none"/>
          <w:lang w:eastAsia="zh-CN"/>
        </w:rPr>
        <w:t>检评</w:t>
      </w:r>
      <w:r>
        <w:rPr>
          <w:rFonts w:hint="eastAsia" w:asciiTheme="minorEastAsia" w:hAnsiTheme="minorEastAsia" w:eastAsiaTheme="minorEastAsia" w:cstheme="minorEastAsia"/>
          <w:szCs w:val="21"/>
          <w:highlight w:val="none"/>
        </w:rPr>
        <w:t>公司名称：              检评时间：</w:t>
      </w:r>
      <w:r>
        <w:rPr>
          <w:rFonts w:hint="eastAsia" w:asciiTheme="minorEastAsia" w:hAnsiTheme="minorEastAsia" w:eastAsiaTheme="minorEastAsia" w:cstheme="minorEastAsia"/>
          <w:kern w:val="0"/>
          <w:sz w:val="24"/>
          <w:szCs w:val="20"/>
          <w:highlight w:val="none"/>
        </w:rPr>
        <w:t xml:space="preserve">  </w:t>
      </w:r>
    </w:p>
    <w:tbl>
      <w:tblPr>
        <w:tblStyle w:val="7"/>
        <w:tblW w:w="8431" w:type="dxa"/>
        <w:jc w:val="center"/>
        <w:tblLayout w:type="fixed"/>
        <w:tblCellMar>
          <w:top w:w="0" w:type="dxa"/>
          <w:left w:w="108" w:type="dxa"/>
          <w:bottom w:w="0" w:type="dxa"/>
          <w:right w:w="108" w:type="dxa"/>
        </w:tblCellMar>
      </w:tblPr>
      <w:tblGrid>
        <w:gridCol w:w="450"/>
        <w:gridCol w:w="1031"/>
        <w:gridCol w:w="1512"/>
        <w:gridCol w:w="3908"/>
        <w:gridCol w:w="628"/>
        <w:gridCol w:w="902"/>
      </w:tblGrid>
      <w:tr>
        <w:tblPrEx>
          <w:tblCellMar>
            <w:top w:w="0" w:type="dxa"/>
            <w:left w:w="108" w:type="dxa"/>
            <w:bottom w:w="0" w:type="dxa"/>
            <w:right w:w="108" w:type="dxa"/>
          </w:tblCellMar>
        </w:tblPrEx>
        <w:trPr>
          <w:cantSplit/>
          <w:trHeight w:val="585" w:hRule="atLeast"/>
          <w:jc w:val="center"/>
        </w:trPr>
        <w:tc>
          <w:tcPr>
            <w:tcW w:w="1481"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b/>
                <w:szCs w:val="21"/>
                <w:highlight w:val="none"/>
              </w:rPr>
              <w:t>分类项目</w:t>
            </w: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6" w:firstLineChars="150"/>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b/>
                <w:szCs w:val="21"/>
                <w:highlight w:val="none"/>
              </w:rPr>
              <w:t>分类小项</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b/>
                <w:szCs w:val="21"/>
                <w:highlight w:val="none"/>
              </w:rPr>
              <w:t>扣分</w:t>
            </w: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b/>
                <w:szCs w:val="21"/>
                <w:highlight w:val="none"/>
              </w:rPr>
              <w:t>备注</w:t>
            </w:r>
          </w:p>
        </w:tc>
      </w:tr>
      <w:tr>
        <w:tblPrEx>
          <w:tblCellMar>
            <w:top w:w="0" w:type="dxa"/>
            <w:left w:w="108" w:type="dxa"/>
            <w:bottom w:w="0" w:type="dxa"/>
            <w:right w:w="108" w:type="dxa"/>
          </w:tblCellMar>
        </w:tblPrEx>
        <w:trPr>
          <w:cantSplit/>
          <w:trHeight w:val="585" w:hRule="atLeast"/>
          <w:jc w:val="center"/>
        </w:trPr>
        <w:tc>
          <w:tcPr>
            <w:tcW w:w="450" w:type="dxa"/>
            <w:vMerge w:val="restart"/>
            <w:tcBorders>
              <w:top w:val="single" w:color="auto" w:sz="4" w:space="0"/>
              <w:left w:val="single" w:color="auto" w:sz="4" w:space="0"/>
              <w:bottom w:val="nil"/>
              <w:right w:val="single" w:color="auto" w:sz="4" w:space="0"/>
            </w:tcBorders>
            <w:noWrap w:val="0"/>
            <w:tcMar>
              <w:top w:w="15" w:type="dxa"/>
              <w:left w:w="15" w:type="dxa"/>
              <w:bottom w:w="15" w:type="dxa"/>
              <w:right w:w="15" w:type="dxa"/>
            </w:tcMar>
            <w:vAlign w:val="center"/>
          </w:tcPr>
          <w:p>
            <w:pPr>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p>
        </w:tc>
        <w:tc>
          <w:tcPr>
            <w:tcW w:w="1031" w:type="dxa"/>
            <w:vMerge w:val="restart"/>
            <w:tcBorders>
              <w:top w:val="single" w:color="auto" w:sz="4" w:space="0"/>
              <w:left w:val="single" w:color="auto" w:sz="4" w:space="0"/>
              <w:bottom w:val="nil"/>
              <w:right w:val="single" w:color="auto" w:sz="4" w:space="0"/>
            </w:tcBorders>
            <w:noWrap w:val="0"/>
            <w:tcMar>
              <w:top w:w="15" w:type="dxa"/>
              <w:left w:w="15" w:type="dxa"/>
              <w:bottom w:w="15" w:type="dxa"/>
              <w:right w:w="15" w:type="dxa"/>
            </w:tcMar>
            <w:vAlign w:val="center"/>
          </w:tcPr>
          <w:p>
            <w:p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安全组织</w:t>
            </w:r>
          </w:p>
          <w:p>
            <w:pPr>
              <w:jc w:val="left"/>
              <w:rPr>
                <w:rFonts w:hint="eastAsia" w:asciiTheme="minorEastAsia" w:hAnsiTheme="minorEastAsia" w:eastAsiaTheme="minorEastAsia" w:cstheme="minorEastAsia"/>
                <w:szCs w:val="21"/>
                <w:highlight w:val="none"/>
              </w:rPr>
            </w:pP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在生产、火灾、交通、游览等责任事故中，死亡一人的扣10分；重伤一人的扣5分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Theme="minorEastAsia" w:hAnsiTheme="minorEastAsia" w:eastAsiaTheme="minorEastAsia" w:cstheme="minorEastAsia"/>
                <w:szCs w:val="21"/>
                <w:highlight w:val="none"/>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585" w:hRule="atLeast"/>
          <w:jc w:val="center"/>
        </w:trPr>
        <w:tc>
          <w:tcPr>
            <w:tcW w:w="450" w:type="dxa"/>
            <w:vMerge w:val="continue"/>
            <w:tcBorders>
              <w:top w:val="single" w:color="auto" w:sz="4" w:space="0"/>
              <w:left w:val="single" w:color="auto" w:sz="4" w:space="0"/>
              <w:bottom w:val="nil"/>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1031" w:type="dxa"/>
            <w:vMerge w:val="continue"/>
            <w:tcBorders>
              <w:top w:val="single" w:color="auto" w:sz="4" w:space="0"/>
              <w:left w:val="single" w:color="auto" w:sz="4" w:space="0"/>
              <w:bottom w:val="nil"/>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发生聚众斗殴、闹事、抢夺财物等重大事件每次扣3分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Theme="minorEastAsia" w:hAnsiTheme="minorEastAsia" w:eastAsiaTheme="minorEastAsia" w:cstheme="minorEastAsia"/>
                <w:szCs w:val="21"/>
                <w:highlight w:val="none"/>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585" w:hRule="atLeast"/>
          <w:jc w:val="center"/>
        </w:trPr>
        <w:tc>
          <w:tcPr>
            <w:tcW w:w="450" w:type="dxa"/>
            <w:vMerge w:val="continue"/>
            <w:tcBorders>
              <w:top w:val="single" w:color="auto" w:sz="4" w:space="0"/>
              <w:left w:val="single" w:color="auto" w:sz="4" w:space="0"/>
              <w:bottom w:val="nil"/>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1031" w:type="dxa"/>
            <w:vMerge w:val="continue"/>
            <w:tcBorders>
              <w:top w:val="single" w:color="auto" w:sz="4" w:space="0"/>
              <w:left w:val="single" w:color="auto" w:sz="4" w:space="0"/>
              <w:bottom w:val="nil"/>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各公园每月至少召开一次安全会议，没有按规定定期召开安全工作会议，每少一次扣2分，安全会议资料没有留底或不完善扣1分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Theme="minorEastAsia" w:hAnsiTheme="minorEastAsia" w:eastAsiaTheme="minorEastAsia" w:cstheme="minorEastAsia"/>
                <w:szCs w:val="21"/>
                <w:highlight w:val="none"/>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585" w:hRule="atLeast"/>
          <w:jc w:val="center"/>
        </w:trPr>
        <w:tc>
          <w:tcPr>
            <w:tcW w:w="450" w:type="dxa"/>
            <w:vMerge w:val="continue"/>
            <w:tcBorders>
              <w:top w:val="single" w:color="auto" w:sz="4" w:space="0"/>
              <w:left w:val="single" w:color="auto" w:sz="4" w:space="0"/>
              <w:bottom w:val="nil"/>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1031" w:type="dxa"/>
            <w:vMerge w:val="continue"/>
            <w:tcBorders>
              <w:top w:val="single" w:color="auto" w:sz="4" w:space="0"/>
              <w:left w:val="single" w:color="auto" w:sz="4" w:space="0"/>
              <w:bottom w:val="nil"/>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安全会议全园管理岗及工作人员参加，没有请假私自缺席每人扣1分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Theme="minorEastAsia" w:hAnsiTheme="minorEastAsia" w:eastAsiaTheme="minorEastAsia" w:cstheme="minorEastAsia"/>
                <w:szCs w:val="21"/>
                <w:highlight w:val="none"/>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585" w:hRule="atLeast"/>
          <w:jc w:val="center"/>
        </w:trPr>
        <w:tc>
          <w:tcPr>
            <w:tcW w:w="45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p>
        </w:tc>
        <w:tc>
          <w:tcPr>
            <w:tcW w:w="103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安全游园</w:t>
            </w:r>
          </w:p>
          <w:p>
            <w:pPr>
              <w:jc w:val="left"/>
              <w:rPr>
                <w:rFonts w:hint="eastAsia" w:asciiTheme="minorEastAsia" w:hAnsiTheme="minorEastAsia" w:eastAsiaTheme="minorEastAsia" w:cstheme="minorEastAsia"/>
                <w:szCs w:val="21"/>
                <w:highlight w:val="none"/>
              </w:rPr>
            </w:pP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没有制定设施安全管理制度扣3分，设施没有专人负责管理扣2分，没有按照制度执行及定期检查扣1分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Theme="minorEastAsia" w:hAnsiTheme="minorEastAsia" w:eastAsiaTheme="minorEastAsia" w:cstheme="minorEastAsia"/>
                <w:szCs w:val="21"/>
                <w:highlight w:val="none"/>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585" w:hRule="atLeast"/>
          <w:jc w:val="center"/>
        </w:trPr>
        <w:tc>
          <w:tcPr>
            <w:tcW w:w="4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103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在游览危险地段及水域，安全防护措施不完善，缺失护栏或警告标志扣2分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Theme="minorEastAsia" w:hAnsiTheme="minorEastAsia" w:eastAsiaTheme="minorEastAsia" w:cstheme="minorEastAsia"/>
                <w:szCs w:val="21"/>
                <w:highlight w:val="none"/>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585" w:hRule="atLeast"/>
          <w:jc w:val="center"/>
        </w:trPr>
        <w:tc>
          <w:tcPr>
            <w:tcW w:w="4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103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没有制定园内安全行车制度扣3分，没有执行交通法规，发现外来车辆进入扣2分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Theme="minorEastAsia" w:hAnsiTheme="minorEastAsia" w:eastAsiaTheme="minorEastAsia" w:cstheme="minorEastAsia"/>
                <w:szCs w:val="21"/>
                <w:highlight w:val="none"/>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585" w:hRule="atLeast"/>
          <w:jc w:val="center"/>
        </w:trPr>
        <w:tc>
          <w:tcPr>
            <w:tcW w:w="4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103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公园出入口出现摊贩摆放，阻碍游人同行，每次扣2分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Theme="minorEastAsia" w:hAnsiTheme="minorEastAsia" w:eastAsiaTheme="minorEastAsia" w:cstheme="minorEastAsia"/>
                <w:szCs w:val="21"/>
                <w:highlight w:val="none"/>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585" w:hRule="atLeast"/>
          <w:jc w:val="center"/>
        </w:trPr>
        <w:tc>
          <w:tcPr>
            <w:tcW w:w="4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103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pStyle w:val="6"/>
              <w:wordWrap w:val="0"/>
              <w:spacing w:beforeAutospacing="0" w:afterAutospacing="0" w:line="360" w:lineRule="atLeast"/>
              <w:jc w:val="both"/>
              <w:rPr>
                <w:rFonts w:hint="eastAsia"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在游人、车辆通行的地方施工，没有设立标志扣2分，没有采取可靠的安全防护措施扣2分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Theme="minorEastAsia" w:hAnsiTheme="minorEastAsia" w:eastAsiaTheme="minorEastAsia" w:cstheme="minorEastAsia"/>
                <w:szCs w:val="21"/>
                <w:highlight w:val="none"/>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585" w:hRule="atLeast"/>
          <w:jc w:val="center"/>
        </w:trPr>
        <w:tc>
          <w:tcPr>
            <w:tcW w:w="4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103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pStyle w:val="6"/>
              <w:wordWrap w:val="0"/>
              <w:spacing w:beforeAutospacing="0" w:afterAutospacing="0" w:line="360" w:lineRule="atLeast"/>
              <w:jc w:val="both"/>
              <w:rPr>
                <w:rFonts w:hint="eastAsia"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消防器材没有登记造册，没有安排专人管理，没有定期检查每项扣1分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Theme="minorEastAsia" w:hAnsiTheme="minorEastAsia" w:eastAsiaTheme="minorEastAsia" w:cstheme="minorEastAsia"/>
                <w:szCs w:val="21"/>
                <w:highlight w:val="none"/>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585" w:hRule="atLeast"/>
          <w:jc w:val="center"/>
        </w:trPr>
        <w:tc>
          <w:tcPr>
            <w:tcW w:w="450" w:type="dxa"/>
            <w:vMerge w:val="restart"/>
            <w:tcBorders>
              <w:top w:val="nil"/>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w:t>
            </w:r>
          </w:p>
        </w:tc>
        <w:tc>
          <w:tcPr>
            <w:tcW w:w="1031" w:type="dxa"/>
            <w:vMerge w:val="restart"/>
            <w:tcBorders>
              <w:top w:val="nil"/>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安全生产</w:t>
            </w:r>
          </w:p>
          <w:p>
            <w:pPr>
              <w:jc w:val="left"/>
              <w:rPr>
                <w:rFonts w:hint="eastAsia" w:asciiTheme="minorEastAsia" w:hAnsiTheme="minorEastAsia" w:eastAsiaTheme="minorEastAsia" w:cstheme="minorEastAsia"/>
                <w:szCs w:val="21"/>
                <w:highlight w:val="none"/>
              </w:rPr>
            </w:pP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pStyle w:val="6"/>
              <w:wordWrap w:val="0"/>
              <w:spacing w:beforeAutospacing="0" w:afterAutospacing="0" w:line="360" w:lineRule="atLeast"/>
              <w:jc w:val="both"/>
              <w:rPr>
                <w:rFonts w:hint="eastAsia"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检查发现缺少安全巡查制度、应急抢险预案、安全操作规程和机械安全合格证，按每次每项扣2分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Theme="minorEastAsia" w:hAnsiTheme="minorEastAsia" w:eastAsiaTheme="minorEastAsia" w:cstheme="minorEastAsia"/>
                <w:szCs w:val="21"/>
                <w:highlight w:val="none"/>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585" w:hRule="atLeast"/>
          <w:jc w:val="center"/>
        </w:trPr>
        <w:tc>
          <w:tcPr>
            <w:tcW w:w="450" w:type="dxa"/>
            <w:vMerge w:val="continue"/>
            <w:tcBorders>
              <w:top w:val="nil"/>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1031" w:type="dxa"/>
            <w:vMerge w:val="continue"/>
            <w:tcBorders>
              <w:top w:val="nil"/>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pStyle w:val="6"/>
              <w:wordWrap w:val="0"/>
              <w:spacing w:beforeAutospacing="0" w:afterAutospacing="0" w:line="360" w:lineRule="atLeast"/>
              <w:jc w:val="both"/>
              <w:rPr>
                <w:rFonts w:hint="eastAsia"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高空作业严禁无证人员施工。高空作业未采取有效防护措施，发现一次扣10分处理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Theme="minorEastAsia" w:hAnsiTheme="minorEastAsia" w:eastAsiaTheme="minorEastAsia" w:cstheme="minorEastAsia"/>
                <w:szCs w:val="21"/>
                <w:highlight w:val="none"/>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585" w:hRule="atLeast"/>
          <w:jc w:val="center"/>
        </w:trPr>
        <w:tc>
          <w:tcPr>
            <w:tcW w:w="450" w:type="dxa"/>
            <w:vMerge w:val="continue"/>
            <w:tcBorders>
              <w:top w:val="nil"/>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1031" w:type="dxa"/>
            <w:vMerge w:val="continue"/>
            <w:tcBorders>
              <w:top w:val="nil"/>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pStyle w:val="6"/>
              <w:wordWrap w:val="0"/>
              <w:spacing w:beforeAutospacing="0" w:afterAutospacing="0" w:line="360" w:lineRule="atLeast"/>
              <w:jc w:val="both"/>
              <w:rPr>
                <w:rFonts w:hint="eastAsia"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作业人员不穿工作服，按每人扣1分处理。作业范围内不设置安全围蔽，夜间施工未设置警示区、缓冲区和工作区，按每处扣2分处理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Theme="minorEastAsia" w:hAnsiTheme="minorEastAsia" w:eastAsiaTheme="minorEastAsia" w:cstheme="minorEastAsia"/>
                <w:szCs w:val="21"/>
                <w:highlight w:val="none"/>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585" w:hRule="atLeast"/>
          <w:jc w:val="center"/>
        </w:trPr>
        <w:tc>
          <w:tcPr>
            <w:tcW w:w="450" w:type="dxa"/>
            <w:vMerge w:val="continue"/>
            <w:tcBorders>
              <w:top w:val="nil"/>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1031" w:type="dxa"/>
            <w:vMerge w:val="continue"/>
            <w:tcBorders>
              <w:top w:val="nil"/>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pStyle w:val="6"/>
              <w:wordWrap w:val="0"/>
              <w:spacing w:beforeAutospacing="0" w:afterAutospacing="0" w:line="360" w:lineRule="atLeast"/>
              <w:jc w:val="both"/>
              <w:rPr>
                <w:rFonts w:hint="eastAsia"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每天未有车辆和设备检修记录，按每天扣1分处理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Theme="minorEastAsia" w:hAnsiTheme="minorEastAsia" w:eastAsiaTheme="minorEastAsia" w:cstheme="minorEastAsia"/>
                <w:szCs w:val="21"/>
                <w:highlight w:val="none"/>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585" w:hRule="atLeast"/>
          <w:jc w:val="center"/>
        </w:trPr>
        <w:tc>
          <w:tcPr>
            <w:tcW w:w="450" w:type="dxa"/>
            <w:vMerge w:val="continue"/>
            <w:tcBorders>
              <w:top w:val="nil"/>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1031" w:type="dxa"/>
            <w:vMerge w:val="continue"/>
            <w:tcBorders>
              <w:top w:val="nil"/>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pStyle w:val="6"/>
              <w:wordWrap w:val="0"/>
              <w:spacing w:beforeAutospacing="0" w:afterAutospacing="0" w:line="360" w:lineRule="atLeast"/>
              <w:jc w:val="both"/>
              <w:rPr>
                <w:rFonts w:hint="eastAsia" w:asciiTheme="minorEastAsia" w:hAnsiTheme="minorEastAsia" w:eastAsiaTheme="minorEastAsia" w:cstheme="minorEastAsia"/>
                <w:kern w:val="2"/>
                <w:sz w:val="21"/>
                <w:szCs w:val="21"/>
                <w:highlight w:val="none"/>
              </w:rPr>
            </w:pPr>
            <w:r>
              <w:rPr>
                <w:rFonts w:hint="eastAsia" w:asciiTheme="minorEastAsia" w:hAnsiTheme="minorEastAsia" w:eastAsiaTheme="minorEastAsia" w:cstheme="minorEastAsia"/>
                <w:kern w:val="2"/>
                <w:sz w:val="21"/>
                <w:szCs w:val="21"/>
                <w:highlight w:val="none"/>
              </w:rPr>
              <w:t>严禁仓库内住人，仓库凌乱未按要求整理，发现一次扣2分处理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Theme="minorEastAsia" w:hAnsiTheme="minorEastAsia" w:eastAsiaTheme="minorEastAsia" w:cstheme="minorEastAsia"/>
                <w:szCs w:val="21"/>
                <w:highlight w:val="none"/>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585" w:hRule="atLeast"/>
          <w:jc w:val="center"/>
        </w:trPr>
        <w:tc>
          <w:tcPr>
            <w:tcW w:w="45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w:t>
            </w:r>
          </w:p>
        </w:tc>
        <w:tc>
          <w:tcPr>
            <w:tcW w:w="103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巡查</w:t>
            </w:r>
          </w:p>
          <w:p>
            <w:pPr>
              <w:jc w:val="left"/>
              <w:rPr>
                <w:rFonts w:hint="eastAsia" w:asciiTheme="minorEastAsia" w:hAnsiTheme="minorEastAsia" w:eastAsiaTheme="minorEastAsia" w:cstheme="minorEastAsia"/>
                <w:szCs w:val="21"/>
                <w:highlight w:val="none"/>
              </w:rPr>
            </w:pP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发现的隐患或不安全因素没有及时整改或采取防范措施的，每少一处扣1分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Theme="minorEastAsia" w:hAnsiTheme="minorEastAsia" w:eastAsiaTheme="minorEastAsia" w:cstheme="minorEastAsia"/>
                <w:szCs w:val="21"/>
                <w:highlight w:val="none"/>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585" w:hRule="atLeast"/>
          <w:jc w:val="center"/>
        </w:trPr>
        <w:tc>
          <w:tcPr>
            <w:tcW w:w="4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103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公园主管单位没有按要求每月至少巡查一次扣3分，各园长没有按要求每周至少巡查一次扣2分，管理人员没有按要求每日至少巡查一次扣1分，巡查资料没有留底或不完善每次扣0.5分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Theme="minorEastAsia" w:hAnsiTheme="minorEastAsia" w:eastAsiaTheme="minorEastAsia" w:cstheme="minorEastAsia"/>
                <w:szCs w:val="21"/>
                <w:highlight w:val="none"/>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585" w:hRule="atLeast"/>
          <w:jc w:val="center"/>
        </w:trPr>
        <w:tc>
          <w:tcPr>
            <w:tcW w:w="45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w:t>
            </w:r>
          </w:p>
        </w:tc>
        <w:tc>
          <w:tcPr>
            <w:tcW w:w="103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其他</w:t>
            </w:r>
          </w:p>
          <w:p>
            <w:pPr>
              <w:jc w:val="left"/>
              <w:rPr>
                <w:rFonts w:hint="eastAsia" w:asciiTheme="minorEastAsia" w:hAnsiTheme="minorEastAsia" w:eastAsiaTheme="minorEastAsia" w:cstheme="minorEastAsia"/>
                <w:b/>
                <w:szCs w:val="21"/>
                <w:highlight w:val="none"/>
              </w:rPr>
            </w:pP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未制定安全检查制度扣3分，未按制度执行各项工作，每项扣0.3分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Theme="minorEastAsia" w:hAnsiTheme="minorEastAsia" w:eastAsiaTheme="minorEastAsia" w:cstheme="minorEastAsia"/>
                <w:szCs w:val="21"/>
                <w:highlight w:val="none"/>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585" w:hRule="atLeast"/>
          <w:jc w:val="center"/>
        </w:trPr>
        <w:tc>
          <w:tcPr>
            <w:tcW w:w="4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103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未能按时提交月度（25日前）、季度、年度工作小结及计划、考勤表，每项每次扣0.5分处理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Theme="minorEastAsia" w:hAnsiTheme="minorEastAsia" w:eastAsiaTheme="minorEastAsia" w:cstheme="minorEastAsia"/>
                <w:szCs w:val="21"/>
                <w:highlight w:val="none"/>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trHeight w:val="570" w:hRule="atLeast"/>
          <w:jc w:val="center"/>
        </w:trPr>
        <w:tc>
          <w:tcPr>
            <w:tcW w:w="6901" w:type="dxa"/>
            <w:gridSpan w:val="4"/>
            <w:tcBorders>
              <w:top w:val="single" w:color="auto" w:sz="4" w:space="0"/>
              <w:left w:val="single" w:color="auto" w:sz="4" w:space="0"/>
              <w:bottom w:val="single" w:color="auto" w:sz="4" w:space="0"/>
              <w:right w:val="single" w:color="auto" w:sz="4" w:space="0"/>
            </w:tcBorders>
            <w:noWrap w:val="0"/>
            <w:vAlign w:val="center"/>
          </w:tcPr>
          <w:p>
            <w:pPr>
              <w:pStyle w:val="5"/>
              <w:widowControl/>
              <w:jc w:val="center"/>
              <w:rPr>
                <w:rFonts w:hint="eastAsia" w:asciiTheme="minorEastAsia" w:hAnsiTheme="minorEastAsia" w:eastAsiaTheme="minorEastAsia" w:cstheme="minorEastAsia"/>
                <w:bCs/>
                <w:sz w:val="44"/>
                <w:szCs w:val="44"/>
                <w:highlight w:val="none"/>
              </w:rPr>
            </w:pPr>
            <w:r>
              <w:rPr>
                <w:rFonts w:hint="eastAsia" w:asciiTheme="minorEastAsia" w:hAnsiTheme="minorEastAsia" w:eastAsiaTheme="minorEastAsia" w:cstheme="minorEastAsia"/>
                <w:highlight w:val="none"/>
                <w:lang w:eastAsia="zh-CN"/>
              </w:rPr>
              <w:t>累</w:t>
            </w:r>
            <w:r>
              <w:rPr>
                <w:rFonts w:hint="eastAsia" w:asciiTheme="minorEastAsia" w:hAnsiTheme="minorEastAsia" w:eastAsiaTheme="minorEastAsia" w:cstheme="minorEastAsia"/>
                <w:highlight w:val="none"/>
                <w:lang w:val="en-US" w:eastAsia="zh-CN"/>
              </w:rPr>
              <w:t xml:space="preserve"> </w:t>
            </w:r>
            <w:r>
              <w:rPr>
                <w:rFonts w:hint="eastAsia" w:asciiTheme="minorEastAsia" w:hAnsiTheme="minorEastAsia" w:eastAsiaTheme="minorEastAsia" w:cstheme="minorEastAsia"/>
                <w:highlight w:val="none"/>
                <w:lang w:eastAsia="zh-CN"/>
              </w:rPr>
              <w:t>计</w:t>
            </w:r>
            <w:r>
              <w:rPr>
                <w:rFonts w:hint="eastAsia" w:asciiTheme="minorEastAsia" w:hAnsiTheme="minorEastAsia" w:eastAsiaTheme="minorEastAsia" w:cstheme="minorEastAsia"/>
                <w:highlight w:val="none"/>
                <w:lang w:val="en-US" w:eastAsia="zh-CN"/>
              </w:rPr>
              <w:t xml:space="preserve"> </w:t>
            </w:r>
            <w:r>
              <w:rPr>
                <w:rFonts w:hint="eastAsia" w:asciiTheme="minorEastAsia" w:hAnsiTheme="minorEastAsia" w:eastAsiaTheme="minorEastAsia" w:cstheme="minorEastAsia"/>
                <w:highlight w:val="none"/>
                <w:lang w:eastAsia="zh-CN"/>
              </w:rPr>
              <w:t>扣</w:t>
            </w:r>
            <w:r>
              <w:rPr>
                <w:rFonts w:hint="eastAsia" w:asciiTheme="minorEastAsia" w:hAnsiTheme="minorEastAsia" w:eastAsiaTheme="minorEastAsia" w:cstheme="minorEastAsia"/>
                <w:highlight w:val="none"/>
                <w:lang w:val="en-US" w:eastAsia="zh-CN"/>
              </w:rPr>
              <w:t xml:space="preserve"> </w:t>
            </w:r>
            <w:r>
              <w:rPr>
                <w:rFonts w:hint="eastAsia" w:asciiTheme="minorEastAsia" w:hAnsiTheme="minorEastAsia" w:eastAsiaTheme="minorEastAsia" w:cstheme="minorEastAsia"/>
                <w:highlight w:val="none"/>
              </w:rPr>
              <w:t>分</w:t>
            </w:r>
          </w:p>
        </w:tc>
        <w:tc>
          <w:tcPr>
            <w:tcW w:w="1530" w:type="dxa"/>
            <w:gridSpan w:val="2"/>
            <w:tcBorders>
              <w:top w:val="single" w:color="auto" w:sz="4" w:space="0"/>
              <w:left w:val="single" w:color="auto" w:sz="4" w:space="0"/>
              <w:bottom w:val="single" w:color="auto" w:sz="4" w:space="0"/>
              <w:right w:val="single" w:color="auto" w:sz="4" w:space="0"/>
            </w:tcBorders>
            <w:noWrap w:val="0"/>
            <w:vAlign w:val="center"/>
          </w:tcPr>
          <w:p>
            <w:pPr>
              <w:pStyle w:val="5"/>
              <w:widowControl/>
              <w:jc w:val="center"/>
              <w:rPr>
                <w:rFonts w:hint="eastAsia" w:asciiTheme="minorEastAsia" w:hAnsiTheme="minorEastAsia" w:eastAsiaTheme="minorEastAsia" w:cstheme="minorEastAsia"/>
                <w:highlight w:val="none"/>
              </w:rPr>
            </w:pPr>
          </w:p>
        </w:tc>
      </w:tr>
      <w:tr>
        <w:tblPrEx>
          <w:tblCellMar>
            <w:top w:w="0" w:type="dxa"/>
            <w:left w:w="108" w:type="dxa"/>
            <w:bottom w:w="0" w:type="dxa"/>
            <w:right w:w="108" w:type="dxa"/>
          </w:tblCellMar>
        </w:tblPrEx>
        <w:trPr>
          <w:trHeight w:val="1259" w:hRule="atLeast"/>
          <w:jc w:val="center"/>
        </w:trPr>
        <w:tc>
          <w:tcPr>
            <w:tcW w:w="2993" w:type="dxa"/>
            <w:gridSpan w:val="3"/>
            <w:tcBorders>
              <w:top w:val="single" w:color="auto" w:sz="4" w:space="0"/>
              <w:left w:val="single" w:color="auto" w:sz="4" w:space="0"/>
              <w:bottom w:val="single" w:color="auto" w:sz="4" w:space="0"/>
              <w:right w:val="single" w:color="auto" w:sz="4" w:space="0"/>
            </w:tcBorders>
            <w:noWrap w:val="0"/>
            <w:vAlign w:val="center"/>
          </w:tcPr>
          <w:p>
            <w:pPr>
              <w:pStyle w:val="5"/>
              <w:widowControl/>
              <w:jc w:val="center"/>
              <w:rPr>
                <w:rFonts w:hint="eastAsia" w:asciiTheme="minorEastAsia" w:hAnsiTheme="minorEastAsia" w:eastAsiaTheme="minorEastAsia" w:cstheme="minorEastAsia"/>
                <w:b/>
                <w:sz w:val="44"/>
                <w:szCs w:val="44"/>
                <w:highlight w:val="none"/>
              </w:rPr>
            </w:pPr>
            <w:r>
              <w:rPr>
                <w:rFonts w:hint="eastAsia" w:asciiTheme="minorEastAsia" w:hAnsiTheme="minorEastAsia" w:eastAsiaTheme="minorEastAsia" w:cstheme="minorEastAsia"/>
                <w:highlight w:val="none"/>
              </w:rPr>
              <w:t>其他需说明情况</w:t>
            </w:r>
          </w:p>
        </w:tc>
        <w:tc>
          <w:tcPr>
            <w:tcW w:w="5438" w:type="dxa"/>
            <w:gridSpan w:val="3"/>
            <w:tcBorders>
              <w:top w:val="single" w:color="auto" w:sz="4" w:space="0"/>
              <w:left w:val="single" w:color="auto" w:sz="4" w:space="0"/>
              <w:bottom w:val="single" w:color="auto" w:sz="4" w:space="0"/>
              <w:right w:val="single" w:color="auto" w:sz="4" w:space="0"/>
            </w:tcBorders>
            <w:noWrap w:val="0"/>
            <w:vAlign w:val="center"/>
          </w:tcPr>
          <w:p>
            <w:pPr>
              <w:pStyle w:val="5"/>
              <w:widowControl/>
              <w:jc w:val="center"/>
              <w:rPr>
                <w:rFonts w:hint="eastAsia" w:asciiTheme="minorEastAsia" w:hAnsiTheme="minorEastAsia" w:eastAsiaTheme="minorEastAsia" w:cstheme="minorEastAsia"/>
                <w:highlight w:val="none"/>
              </w:rPr>
            </w:pPr>
          </w:p>
        </w:tc>
      </w:tr>
    </w:tbl>
    <w:p>
      <w:pPr>
        <w:pStyle w:val="5"/>
        <w:widowControl/>
        <w:rPr>
          <w:rFonts w:hint="eastAsia" w:asciiTheme="minorEastAsia" w:hAnsiTheme="minorEastAsia" w:eastAsiaTheme="minorEastAsia" w:cstheme="minorEastAsia"/>
          <w:highlight w:val="none"/>
        </w:rPr>
      </w:pPr>
    </w:p>
    <w:p>
      <w:pPr>
        <w:pStyle w:val="5"/>
        <w:widowControl/>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 xml:space="preserve">受检单位参评人员（签名）： </w:t>
      </w:r>
      <w:r>
        <w:rPr>
          <w:rFonts w:hint="eastAsia" w:asciiTheme="minorEastAsia" w:hAnsiTheme="minorEastAsia" w:eastAsiaTheme="minorEastAsia" w:cstheme="minorEastAsia"/>
          <w:highlight w:val="none"/>
        </w:rPr>
        <w:tab/>
      </w:r>
      <w:r>
        <w:rPr>
          <w:rFonts w:hint="eastAsia" w:asciiTheme="minorEastAsia" w:hAnsiTheme="minorEastAsia" w:eastAsiaTheme="minorEastAsia" w:cstheme="minorEastAsia"/>
          <w:highlight w:val="none"/>
        </w:rPr>
        <w:t xml:space="preserve">                   检评单位检评人员</w:t>
      </w:r>
      <w:r>
        <w:rPr>
          <w:rFonts w:hint="eastAsia" w:asciiTheme="minorEastAsia" w:hAnsiTheme="minorEastAsia" w:eastAsiaTheme="minorEastAsia" w:cstheme="minorEastAsia"/>
          <w:kern w:val="2"/>
          <w:sz w:val="21"/>
          <w:szCs w:val="21"/>
          <w:highlight w:val="none"/>
          <w:lang w:eastAsia="zh-CN"/>
        </w:rPr>
        <w:t>（签名）</w:t>
      </w:r>
      <w:r>
        <w:rPr>
          <w:rFonts w:hint="eastAsia" w:asciiTheme="minorEastAsia" w:hAnsiTheme="minorEastAsia" w:eastAsiaTheme="minorEastAsia" w:cstheme="minorEastAsia"/>
          <w:highlight w:val="none"/>
        </w:rPr>
        <w:t>：</w:t>
      </w:r>
    </w:p>
    <w:p>
      <w:pPr>
        <w:pStyle w:val="5"/>
        <w:widowControl/>
        <w:spacing w:line="360" w:lineRule="auto"/>
        <w:rPr>
          <w:rFonts w:hint="eastAsia" w:asciiTheme="minorEastAsia" w:hAnsiTheme="minorEastAsia" w:eastAsiaTheme="minorEastAsia" w:cstheme="minorEastAsia"/>
          <w:highlight w:val="none"/>
        </w:rPr>
      </w:pPr>
    </w:p>
    <w:p>
      <w:pPr>
        <w:pStyle w:val="5"/>
        <w:widowControl/>
        <w:spacing w:line="360" w:lineRule="auto"/>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受检单位负责人（签名）：                        检评单位负责人（签名）：</w:t>
      </w:r>
    </w:p>
    <w:p>
      <w:pPr>
        <w:widowControl/>
        <w:jc w:val="left"/>
        <w:rPr>
          <w:rFonts w:hint="eastAsia" w:asciiTheme="minorEastAsia" w:hAnsiTheme="minorEastAsia" w:eastAsiaTheme="minorEastAsia" w:cstheme="minorEastAsia"/>
          <w:kern w:val="0"/>
          <w:sz w:val="24"/>
          <w:highlight w:val="none"/>
        </w:rPr>
      </w:pPr>
    </w:p>
    <w:p>
      <w:pPr>
        <w:pStyle w:val="5"/>
        <w:widowControl/>
        <w:rPr>
          <w:rFonts w:hint="eastAsia" w:asciiTheme="minorEastAsia" w:hAnsiTheme="minorEastAsia" w:eastAsiaTheme="minorEastAsia" w:cstheme="minorEastAsia"/>
          <w:b/>
          <w:sz w:val="44"/>
          <w:szCs w:val="44"/>
          <w:highlight w:val="none"/>
        </w:rPr>
      </w:pPr>
    </w:p>
    <w:p>
      <w:pPr>
        <w:pStyle w:val="5"/>
        <w:widowControl/>
        <w:rPr>
          <w:rFonts w:hint="eastAsia" w:asciiTheme="minorEastAsia" w:hAnsiTheme="minorEastAsia" w:eastAsiaTheme="minorEastAsia" w:cstheme="minorEastAsia"/>
          <w:b/>
          <w:sz w:val="44"/>
          <w:szCs w:val="44"/>
          <w:highlight w:val="none"/>
        </w:rPr>
      </w:pPr>
    </w:p>
    <w:p>
      <w:pPr>
        <w:pStyle w:val="5"/>
        <w:widowControl/>
        <w:rPr>
          <w:rFonts w:hint="eastAsia" w:asciiTheme="minorEastAsia" w:hAnsiTheme="minorEastAsia" w:eastAsiaTheme="minorEastAsia" w:cstheme="minorEastAsia"/>
          <w:b/>
          <w:sz w:val="44"/>
          <w:szCs w:val="44"/>
          <w:highlight w:val="none"/>
        </w:rPr>
      </w:pPr>
    </w:p>
    <w:p>
      <w:pPr>
        <w:pStyle w:val="5"/>
        <w:widowControl/>
        <w:rPr>
          <w:rFonts w:hint="eastAsia" w:asciiTheme="minorEastAsia" w:hAnsiTheme="minorEastAsia" w:eastAsiaTheme="minorEastAsia" w:cstheme="minorEastAsia"/>
          <w:b/>
          <w:sz w:val="44"/>
          <w:szCs w:val="44"/>
          <w:highlight w:val="none"/>
        </w:rPr>
      </w:pPr>
    </w:p>
    <w:p>
      <w:pPr>
        <w:pStyle w:val="5"/>
        <w:widowControl/>
        <w:rPr>
          <w:rFonts w:hint="eastAsia" w:asciiTheme="minorEastAsia" w:hAnsiTheme="minorEastAsia" w:eastAsiaTheme="minorEastAsia" w:cstheme="minorEastAsia"/>
          <w:b/>
          <w:sz w:val="44"/>
          <w:szCs w:val="44"/>
          <w:highlight w:val="none"/>
        </w:rPr>
      </w:pPr>
    </w:p>
    <w:p>
      <w:pPr>
        <w:pStyle w:val="5"/>
        <w:widowControl/>
        <w:rPr>
          <w:rFonts w:hint="eastAsia" w:asciiTheme="minorEastAsia" w:hAnsiTheme="minorEastAsia" w:eastAsiaTheme="minorEastAsia" w:cstheme="minorEastAsia"/>
          <w:b/>
          <w:sz w:val="44"/>
          <w:szCs w:val="44"/>
          <w:highlight w:val="none"/>
        </w:rPr>
      </w:pPr>
    </w:p>
    <w:p>
      <w:pPr>
        <w:pStyle w:val="5"/>
        <w:widowControl/>
        <w:rPr>
          <w:rFonts w:hint="eastAsia" w:asciiTheme="minorEastAsia" w:hAnsiTheme="minorEastAsia" w:eastAsiaTheme="minorEastAsia" w:cstheme="minorEastAsia"/>
          <w:b/>
          <w:sz w:val="44"/>
          <w:szCs w:val="44"/>
          <w:highlight w:val="none"/>
        </w:rPr>
      </w:pPr>
    </w:p>
    <w:p>
      <w:pPr>
        <w:pStyle w:val="5"/>
        <w:widowControl/>
        <w:jc w:val="both"/>
        <w:rPr>
          <w:rFonts w:hint="eastAsia" w:asciiTheme="minorEastAsia" w:hAnsiTheme="minorEastAsia" w:eastAsiaTheme="minorEastAsia" w:cstheme="minorEastAsia"/>
          <w:b/>
          <w:sz w:val="36"/>
          <w:szCs w:val="36"/>
          <w:highlight w:val="none"/>
        </w:rPr>
      </w:pPr>
    </w:p>
    <w:p>
      <w:pPr>
        <w:pStyle w:val="5"/>
        <w:widowControl/>
        <w:jc w:val="both"/>
        <w:rPr>
          <w:rFonts w:hint="eastAsia" w:asciiTheme="minorEastAsia" w:hAnsiTheme="minorEastAsia" w:eastAsiaTheme="minorEastAsia" w:cstheme="minorEastAsia"/>
          <w:b/>
          <w:sz w:val="36"/>
          <w:szCs w:val="36"/>
          <w:highlight w:val="none"/>
        </w:rPr>
      </w:pPr>
    </w:p>
    <w:p>
      <w:pPr>
        <w:pStyle w:val="5"/>
        <w:widowControl/>
        <w:spacing w:line="360" w:lineRule="auto"/>
        <w:jc w:val="center"/>
        <w:rPr>
          <w:rFonts w:hint="eastAsia" w:asciiTheme="minorEastAsia" w:hAnsiTheme="minorEastAsia" w:eastAsiaTheme="minorEastAsia" w:cstheme="minorEastAsia"/>
          <w:b/>
          <w:sz w:val="36"/>
          <w:szCs w:val="36"/>
          <w:highlight w:val="none"/>
          <w:lang w:val="en-US" w:eastAsia="zh-CN"/>
        </w:rPr>
      </w:pPr>
      <w:r>
        <w:rPr>
          <w:rFonts w:hint="eastAsia" w:asciiTheme="minorEastAsia" w:hAnsiTheme="minorEastAsia" w:eastAsiaTheme="minorEastAsia" w:cstheme="minorEastAsia"/>
          <w:b/>
          <w:sz w:val="36"/>
          <w:szCs w:val="36"/>
          <w:highlight w:val="none"/>
          <w:lang w:val="en-US" w:eastAsia="zh-CN"/>
        </w:rPr>
        <w:t>广州市黄埔区、广州开发区公园管理</w:t>
      </w:r>
    </w:p>
    <w:p>
      <w:pPr>
        <w:pStyle w:val="5"/>
        <w:widowControl/>
        <w:spacing w:line="360" w:lineRule="auto"/>
        <w:jc w:val="center"/>
        <w:rPr>
          <w:rFonts w:hint="eastAsia" w:asciiTheme="minorEastAsia" w:hAnsiTheme="minorEastAsia" w:eastAsiaTheme="minorEastAsia" w:cstheme="minorEastAsia"/>
          <w:b/>
          <w:sz w:val="36"/>
          <w:szCs w:val="36"/>
          <w:highlight w:val="none"/>
        </w:rPr>
      </w:pPr>
      <w:r>
        <w:rPr>
          <w:rFonts w:hint="eastAsia" w:asciiTheme="minorEastAsia" w:hAnsiTheme="minorEastAsia" w:eastAsiaTheme="minorEastAsia" w:cstheme="minorEastAsia"/>
          <w:b/>
          <w:sz w:val="36"/>
          <w:szCs w:val="36"/>
          <w:highlight w:val="none"/>
        </w:rPr>
        <w:t>检评考核表—白蚁防治服务</w:t>
      </w:r>
    </w:p>
    <w:p>
      <w:pPr>
        <w:rPr>
          <w:rFonts w:hint="eastAsia" w:asciiTheme="minorEastAsia" w:hAnsiTheme="minorEastAsia" w:eastAsiaTheme="minorEastAsia" w:cstheme="minorEastAsia"/>
          <w:sz w:val="24"/>
          <w:szCs w:val="24"/>
          <w:highlight w:val="none"/>
          <w:lang w:eastAsia="zh-CN"/>
        </w:rPr>
      </w:pPr>
    </w:p>
    <w:p>
      <w:pPr>
        <w:widowControl/>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lang w:eastAsia="zh-CN"/>
        </w:rPr>
        <w:t>检</w:t>
      </w:r>
      <w:r>
        <w:rPr>
          <w:rFonts w:hint="eastAsia" w:asciiTheme="minorEastAsia" w:hAnsiTheme="minorEastAsia" w:eastAsiaTheme="minorEastAsia" w:cstheme="minorEastAsia"/>
          <w:szCs w:val="21"/>
          <w:highlight w:val="none"/>
        </w:rPr>
        <w:t>评单位（盖章）：               被</w:t>
      </w:r>
      <w:r>
        <w:rPr>
          <w:rFonts w:hint="eastAsia" w:asciiTheme="minorEastAsia" w:hAnsiTheme="minorEastAsia" w:eastAsiaTheme="minorEastAsia" w:cstheme="minorEastAsia"/>
          <w:szCs w:val="21"/>
          <w:highlight w:val="none"/>
          <w:lang w:eastAsia="zh-CN"/>
        </w:rPr>
        <w:t>检评</w:t>
      </w:r>
      <w:r>
        <w:rPr>
          <w:rFonts w:hint="eastAsia" w:asciiTheme="minorEastAsia" w:hAnsiTheme="minorEastAsia" w:eastAsiaTheme="minorEastAsia" w:cstheme="minorEastAsia"/>
          <w:szCs w:val="21"/>
          <w:highlight w:val="none"/>
        </w:rPr>
        <w:t xml:space="preserve">公司名称：  </w:t>
      </w:r>
      <w:r>
        <w:rPr>
          <w:rFonts w:hint="eastAsia" w:asciiTheme="minorEastAsia" w:hAnsiTheme="minorEastAsia" w:eastAsiaTheme="minorEastAsia" w:cstheme="minorEastAsia"/>
          <w:szCs w:val="21"/>
          <w:highlight w:val="none"/>
          <w:lang w:val="en-US" w:eastAsia="zh-CN"/>
        </w:rPr>
        <w:t xml:space="preserve">  </w:t>
      </w:r>
      <w:r>
        <w:rPr>
          <w:rFonts w:hint="eastAsia" w:asciiTheme="minorEastAsia" w:hAnsiTheme="minorEastAsia" w:eastAsiaTheme="minorEastAsia" w:cstheme="minorEastAsia"/>
          <w:szCs w:val="21"/>
          <w:highlight w:val="none"/>
        </w:rPr>
        <w:t xml:space="preserve">            检评时间：  </w:t>
      </w:r>
    </w:p>
    <w:tbl>
      <w:tblPr>
        <w:tblStyle w:val="7"/>
        <w:tblW w:w="8916" w:type="dxa"/>
        <w:tblInd w:w="0" w:type="dxa"/>
        <w:tblLayout w:type="fixed"/>
        <w:tblCellMar>
          <w:top w:w="0" w:type="dxa"/>
          <w:left w:w="108" w:type="dxa"/>
          <w:bottom w:w="0" w:type="dxa"/>
          <w:right w:w="108" w:type="dxa"/>
        </w:tblCellMar>
      </w:tblPr>
      <w:tblGrid>
        <w:gridCol w:w="740"/>
        <w:gridCol w:w="1549"/>
        <w:gridCol w:w="4827"/>
        <w:gridCol w:w="720"/>
        <w:gridCol w:w="1080"/>
      </w:tblGrid>
      <w:tr>
        <w:tblPrEx>
          <w:tblCellMar>
            <w:top w:w="0" w:type="dxa"/>
            <w:left w:w="108" w:type="dxa"/>
            <w:bottom w:w="0" w:type="dxa"/>
            <w:right w:w="108" w:type="dxa"/>
          </w:tblCellMar>
        </w:tblPrEx>
        <w:trPr>
          <w:trHeight w:val="602" w:hRule="atLeast"/>
        </w:trPr>
        <w:tc>
          <w:tcPr>
            <w:tcW w:w="74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评估项目</w:t>
            </w:r>
          </w:p>
        </w:tc>
        <w:tc>
          <w:tcPr>
            <w:tcW w:w="6376" w:type="dxa"/>
            <w:gridSpan w:val="2"/>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评估内容</w:t>
            </w:r>
          </w:p>
        </w:tc>
        <w:tc>
          <w:tcPr>
            <w:tcW w:w="720" w:type="dxa"/>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扣分</w:t>
            </w:r>
          </w:p>
        </w:tc>
        <w:tc>
          <w:tcPr>
            <w:tcW w:w="1080" w:type="dxa"/>
            <w:tcBorders>
              <w:top w:val="single" w:color="auto" w:sz="4" w:space="0"/>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扣分说明</w:t>
            </w:r>
          </w:p>
        </w:tc>
      </w:tr>
      <w:tr>
        <w:tblPrEx>
          <w:tblCellMar>
            <w:top w:w="0" w:type="dxa"/>
            <w:left w:w="108" w:type="dxa"/>
            <w:bottom w:w="0" w:type="dxa"/>
            <w:right w:w="108" w:type="dxa"/>
          </w:tblCellMar>
        </w:tblPrEx>
        <w:trPr>
          <w:trHeight w:val="645" w:hRule="atLeast"/>
        </w:trPr>
        <w:tc>
          <w:tcPr>
            <w:tcW w:w="740" w:type="dxa"/>
            <w:vMerge w:val="restart"/>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基本情况</w:t>
            </w:r>
          </w:p>
        </w:tc>
        <w:tc>
          <w:tcPr>
            <w:tcW w:w="6376" w:type="dxa"/>
            <w:gridSpan w:val="2"/>
            <w:tcBorders>
              <w:top w:val="nil"/>
              <w:left w:val="nil"/>
              <w:bottom w:val="single" w:color="auto" w:sz="4" w:space="0"/>
              <w:right w:val="single" w:color="auto" w:sz="4" w:space="0"/>
            </w:tcBorders>
            <w:noWrap w:val="0"/>
            <w:vAlign w:val="bottom"/>
          </w:tcPr>
          <w:p>
            <w:pPr>
              <w:widowControl/>
              <w:jc w:val="left"/>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eastAsiaTheme="minorEastAsia" w:cstheme="minorEastAsia"/>
                <w:szCs w:val="21"/>
                <w:highlight w:val="none"/>
              </w:rPr>
              <w:t>1.遵守公园管理规章制度，各项管理日常工作正常进行，工作秩序良好。</w:t>
            </w:r>
            <w:r>
              <w:rPr>
                <w:rFonts w:hint="eastAsia" w:asciiTheme="minorEastAsia" w:hAnsiTheme="minorEastAsia" w:eastAsiaTheme="minorEastAsia" w:cstheme="minorEastAsia"/>
                <w:szCs w:val="21"/>
                <w:highlight w:val="none"/>
                <w:lang w:eastAsia="zh-CN"/>
              </w:rPr>
              <w:t>如不</w:t>
            </w:r>
            <w:r>
              <w:rPr>
                <w:rFonts w:hint="eastAsia" w:asciiTheme="minorEastAsia" w:hAnsiTheme="minorEastAsia" w:eastAsiaTheme="minorEastAsia" w:cstheme="minorEastAsia"/>
                <w:szCs w:val="21"/>
                <w:highlight w:val="none"/>
              </w:rPr>
              <w:t>遵守公园管理规章制度</w:t>
            </w:r>
            <w:r>
              <w:rPr>
                <w:rFonts w:hint="eastAsia" w:asciiTheme="minorEastAsia" w:hAnsiTheme="minorEastAsia" w:eastAsiaTheme="minorEastAsia" w:cstheme="minorEastAsia"/>
                <w:szCs w:val="21"/>
                <w:highlight w:val="none"/>
                <w:lang w:eastAsia="zh-CN"/>
              </w:rPr>
              <w:t>，影响公园日常工作秩序，每次扣</w:t>
            </w:r>
            <w:r>
              <w:rPr>
                <w:rFonts w:hint="eastAsia" w:asciiTheme="minorEastAsia" w:hAnsiTheme="minorEastAsia" w:eastAsiaTheme="minorEastAsia" w:cstheme="minorEastAsia"/>
                <w:szCs w:val="21"/>
                <w:highlight w:val="none"/>
                <w:lang w:val="en-US" w:eastAsia="zh-CN"/>
              </w:rPr>
              <w:t>6分。</w:t>
            </w:r>
          </w:p>
        </w:tc>
        <w:tc>
          <w:tcPr>
            <w:tcW w:w="720" w:type="dxa"/>
            <w:tcBorders>
              <w:top w:val="nil"/>
              <w:left w:val="nil"/>
              <w:bottom w:val="single" w:color="auto" w:sz="4" w:space="0"/>
              <w:right w:val="single" w:color="auto" w:sz="4" w:space="0"/>
            </w:tcBorders>
            <w:noWrap w:val="0"/>
            <w:vAlign w:val="bottom"/>
          </w:tcPr>
          <w:p>
            <w:pPr>
              <w:widowControl/>
              <w:jc w:val="left"/>
              <w:rPr>
                <w:rFonts w:hint="eastAsia" w:asciiTheme="minorEastAsia" w:hAnsiTheme="minorEastAsia" w:eastAsiaTheme="minorEastAsia" w:cstheme="minorEastAsia"/>
                <w:szCs w:val="21"/>
                <w:highlight w:val="none"/>
              </w:rPr>
            </w:pPr>
          </w:p>
        </w:tc>
        <w:tc>
          <w:tcPr>
            <w:tcW w:w="1080" w:type="dxa"/>
            <w:tcBorders>
              <w:top w:val="nil"/>
              <w:left w:val="nil"/>
              <w:bottom w:val="single" w:color="auto" w:sz="4" w:space="0"/>
              <w:right w:val="single" w:color="auto" w:sz="4" w:space="0"/>
            </w:tcBorders>
            <w:noWrap w:val="0"/>
            <w:vAlign w:val="bottom"/>
          </w:tcPr>
          <w:p>
            <w:pPr>
              <w:widowControl/>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trHeight w:val="645" w:hRule="atLeast"/>
        </w:trPr>
        <w:tc>
          <w:tcPr>
            <w:tcW w:w="7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szCs w:val="21"/>
                <w:highlight w:val="none"/>
              </w:rPr>
            </w:pPr>
          </w:p>
        </w:tc>
        <w:tc>
          <w:tcPr>
            <w:tcW w:w="6376" w:type="dxa"/>
            <w:gridSpan w:val="2"/>
            <w:tcBorders>
              <w:top w:val="nil"/>
              <w:left w:val="nil"/>
              <w:bottom w:val="single" w:color="auto" w:sz="4" w:space="0"/>
              <w:right w:val="single" w:color="auto" w:sz="4" w:space="0"/>
            </w:tcBorders>
            <w:noWrap w:val="0"/>
            <w:vAlign w:val="bottom"/>
          </w:tcPr>
          <w:p>
            <w:pPr>
              <w:widowControl/>
              <w:jc w:val="left"/>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eastAsiaTheme="minorEastAsia" w:cstheme="minorEastAsia"/>
                <w:szCs w:val="21"/>
                <w:highlight w:val="none"/>
              </w:rPr>
              <w:t>2.与公园办公室沟通密切。及时汇报工作，了解现场情况，及时解决各类问题。</w:t>
            </w:r>
            <w:r>
              <w:rPr>
                <w:rFonts w:hint="eastAsia" w:asciiTheme="minorEastAsia" w:hAnsiTheme="minorEastAsia" w:eastAsiaTheme="minorEastAsia" w:cstheme="minorEastAsia"/>
                <w:szCs w:val="21"/>
                <w:highlight w:val="none"/>
                <w:lang w:eastAsia="zh-CN"/>
              </w:rPr>
              <w:t>发现问题，不及时上报解决，每次扣</w:t>
            </w:r>
            <w:r>
              <w:rPr>
                <w:rFonts w:hint="eastAsia" w:asciiTheme="minorEastAsia" w:hAnsiTheme="minorEastAsia" w:eastAsiaTheme="minorEastAsia" w:cstheme="minorEastAsia"/>
                <w:szCs w:val="21"/>
                <w:highlight w:val="none"/>
                <w:lang w:val="en-US" w:eastAsia="zh-CN"/>
              </w:rPr>
              <w:t>3分。</w:t>
            </w:r>
          </w:p>
        </w:tc>
        <w:tc>
          <w:tcPr>
            <w:tcW w:w="720" w:type="dxa"/>
            <w:tcBorders>
              <w:top w:val="nil"/>
              <w:left w:val="nil"/>
              <w:bottom w:val="single" w:color="auto" w:sz="4" w:space="0"/>
              <w:right w:val="single" w:color="auto" w:sz="4" w:space="0"/>
            </w:tcBorders>
            <w:noWrap w:val="0"/>
            <w:vAlign w:val="bottom"/>
          </w:tcPr>
          <w:p>
            <w:pPr>
              <w:widowControl/>
              <w:jc w:val="left"/>
              <w:rPr>
                <w:rFonts w:hint="eastAsia" w:asciiTheme="minorEastAsia" w:hAnsiTheme="minorEastAsia" w:eastAsiaTheme="minorEastAsia" w:cstheme="minorEastAsia"/>
                <w:szCs w:val="21"/>
                <w:highlight w:val="none"/>
              </w:rPr>
            </w:pPr>
          </w:p>
        </w:tc>
        <w:tc>
          <w:tcPr>
            <w:tcW w:w="1080" w:type="dxa"/>
            <w:tcBorders>
              <w:top w:val="nil"/>
              <w:left w:val="nil"/>
              <w:bottom w:val="single" w:color="auto" w:sz="4" w:space="0"/>
              <w:right w:val="single" w:color="auto" w:sz="4" w:space="0"/>
            </w:tcBorders>
            <w:noWrap w:val="0"/>
            <w:vAlign w:val="bottom"/>
          </w:tcPr>
          <w:p>
            <w:pPr>
              <w:widowControl/>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trHeight w:val="375" w:hRule="atLeast"/>
        </w:trPr>
        <w:tc>
          <w:tcPr>
            <w:tcW w:w="7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szCs w:val="21"/>
                <w:highlight w:val="none"/>
              </w:rPr>
            </w:pPr>
          </w:p>
        </w:tc>
        <w:tc>
          <w:tcPr>
            <w:tcW w:w="6376" w:type="dxa"/>
            <w:gridSpan w:val="2"/>
            <w:tcBorders>
              <w:top w:val="nil"/>
              <w:left w:val="nil"/>
              <w:bottom w:val="single" w:color="auto" w:sz="4" w:space="0"/>
              <w:right w:val="single" w:color="auto" w:sz="4" w:space="0"/>
            </w:tcBorders>
            <w:noWrap w:val="0"/>
            <w:vAlign w:val="bottom"/>
          </w:tcPr>
          <w:p>
            <w:pPr>
              <w:widowControl/>
              <w:jc w:val="left"/>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eastAsiaTheme="minorEastAsia" w:cstheme="minorEastAsia"/>
                <w:szCs w:val="21"/>
                <w:highlight w:val="none"/>
              </w:rPr>
              <w:t>3.有完善的登记管理制度，落实情况良好。登记管理制度</w:t>
            </w:r>
            <w:r>
              <w:rPr>
                <w:rFonts w:hint="eastAsia" w:asciiTheme="minorEastAsia" w:hAnsiTheme="minorEastAsia" w:eastAsiaTheme="minorEastAsia" w:cstheme="minorEastAsia"/>
                <w:szCs w:val="21"/>
                <w:highlight w:val="none"/>
                <w:lang w:eastAsia="zh-CN"/>
              </w:rPr>
              <w:t>不完善，扣</w:t>
            </w:r>
            <w:r>
              <w:rPr>
                <w:rFonts w:hint="eastAsia" w:asciiTheme="minorEastAsia" w:hAnsiTheme="minorEastAsia" w:eastAsiaTheme="minorEastAsia" w:cstheme="minorEastAsia"/>
                <w:szCs w:val="21"/>
                <w:highlight w:val="none"/>
                <w:lang w:val="en-US" w:eastAsia="zh-CN"/>
              </w:rPr>
              <w:t>3分，登记管理不及时不完全每次扣3分。</w:t>
            </w:r>
          </w:p>
        </w:tc>
        <w:tc>
          <w:tcPr>
            <w:tcW w:w="720" w:type="dxa"/>
            <w:tcBorders>
              <w:top w:val="nil"/>
              <w:left w:val="nil"/>
              <w:bottom w:val="single" w:color="auto" w:sz="4" w:space="0"/>
              <w:right w:val="single" w:color="auto" w:sz="4" w:space="0"/>
            </w:tcBorders>
            <w:noWrap w:val="0"/>
            <w:vAlign w:val="bottom"/>
          </w:tcPr>
          <w:p>
            <w:pPr>
              <w:widowControl/>
              <w:jc w:val="left"/>
              <w:rPr>
                <w:rFonts w:hint="eastAsia" w:asciiTheme="minorEastAsia" w:hAnsiTheme="minorEastAsia" w:eastAsiaTheme="minorEastAsia" w:cstheme="minorEastAsia"/>
                <w:szCs w:val="21"/>
                <w:highlight w:val="none"/>
              </w:rPr>
            </w:pPr>
          </w:p>
        </w:tc>
        <w:tc>
          <w:tcPr>
            <w:tcW w:w="1080" w:type="dxa"/>
            <w:tcBorders>
              <w:top w:val="nil"/>
              <w:left w:val="nil"/>
              <w:bottom w:val="single" w:color="auto" w:sz="4" w:space="0"/>
              <w:right w:val="single" w:color="auto" w:sz="4" w:space="0"/>
            </w:tcBorders>
            <w:noWrap w:val="0"/>
            <w:vAlign w:val="bottom"/>
          </w:tcPr>
          <w:p>
            <w:pPr>
              <w:widowControl/>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trHeight w:val="420" w:hRule="atLeast"/>
        </w:trPr>
        <w:tc>
          <w:tcPr>
            <w:tcW w:w="7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szCs w:val="21"/>
                <w:highlight w:val="none"/>
              </w:rPr>
            </w:pPr>
          </w:p>
        </w:tc>
        <w:tc>
          <w:tcPr>
            <w:tcW w:w="6376" w:type="dxa"/>
            <w:gridSpan w:val="2"/>
            <w:tcBorders>
              <w:top w:val="nil"/>
              <w:left w:val="nil"/>
              <w:bottom w:val="single" w:color="auto" w:sz="4" w:space="0"/>
              <w:right w:val="single" w:color="auto" w:sz="4" w:space="0"/>
            </w:tcBorders>
            <w:noWrap w:val="0"/>
            <w:vAlign w:val="bottom"/>
          </w:tcPr>
          <w:p>
            <w:pPr>
              <w:widowControl/>
              <w:jc w:val="left"/>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eastAsiaTheme="minorEastAsia" w:cstheme="minorEastAsia"/>
                <w:szCs w:val="21"/>
                <w:highlight w:val="none"/>
              </w:rPr>
              <w:t>4.重视白蚁防治档案资料的建立，资料完整，整理及时。白蚁防治档案</w:t>
            </w:r>
            <w:r>
              <w:rPr>
                <w:rFonts w:hint="eastAsia" w:asciiTheme="minorEastAsia" w:hAnsiTheme="minorEastAsia" w:eastAsiaTheme="minorEastAsia" w:cstheme="minorEastAsia"/>
                <w:szCs w:val="21"/>
                <w:highlight w:val="none"/>
                <w:lang w:eastAsia="zh-CN"/>
              </w:rPr>
              <w:t>资料不完整，每次扣</w:t>
            </w:r>
            <w:r>
              <w:rPr>
                <w:rFonts w:hint="eastAsia" w:asciiTheme="minorEastAsia" w:hAnsiTheme="minorEastAsia" w:eastAsiaTheme="minorEastAsia" w:cstheme="minorEastAsia"/>
                <w:szCs w:val="21"/>
                <w:highlight w:val="none"/>
                <w:lang w:val="en-US" w:eastAsia="zh-CN"/>
              </w:rPr>
              <w:t>3分，</w:t>
            </w:r>
            <w:r>
              <w:rPr>
                <w:rFonts w:hint="eastAsia" w:asciiTheme="minorEastAsia" w:hAnsiTheme="minorEastAsia" w:eastAsiaTheme="minorEastAsia" w:cstheme="minorEastAsia"/>
                <w:szCs w:val="21"/>
                <w:highlight w:val="none"/>
              </w:rPr>
              <w:t>白蚁防治档案</w:t>
            </w:r>
            <w:r>
              <w:rPr>
                <w:rFonts w:hint="eastAsia" w:asciiTheme="minorEastAsia" w:hAnsiTheme="minorEastAsia" w:eastAsiaTheme="minorEastAsia" w:cstheme="minorEastAsia"/>
                <w:szCs w:val="21"/>
                <w:highlight w:val="none"/>
                <w:lang w:eastAsia="zh-CN"/>
              </w:rPr>
              <w:t>资料整理不及时，每次扣</w:t>
            </w:r>
            <w:r>
              <w:rPr>
                <w:rFonts w:hint="eastAsia" w:asciiTheme="minorEastAsia" w:hAnsiTheme="minorEastAsia" w:eastAsiaTheme="minorEastAsia" w:cstheme="minorEastAsia"/>
                <w:szCs w:val="21"/>
                <w:highlight w:val="none"/>
                <w:lang w:val="en-US" w:eastAsia="zh-CN"/>
              </w:rPr>
              <w:t>3分。</w:t>
            </w:r>
          </w:p>
        </w:tc>
        <w:tc>
          <w:tcPr>
            <w:tcW w:w="720" w:type="dxa"/>
            <w:tcBorders>
              <w:top w:val="nil"/>
              <w:left w:val="nil"/>
              <w:bottom w:val="single" w:color="auto" w:sz="4" w:space="0"/>
              <w:right w:val="single" w:color="auto" w:sz="4" w:space="0"/>
            </w:tcBorders>
            <w:noWrap w:val="0"/>
            <w:vAlign w:val="bottom"/>
          </w:tcPr>
          <w:p>
            <w:pPr>
              <w:widowControl/>
              <w:jc w:val="left"/>
              <w:rPr>
                <w:rFonts w:hint="eastAsia" w:asciiTheme="minorEastAsia" w:hAnsiTheme="minorEastAsia" w:eastAsiaTheme="minorEastAsia" w:cstheme="minorEastAsia"/>
                <w:szCs w:val="21"/>
                <w:highlight w:val="none"/>
              </w:rPr>
            </w:pPr>
          </w:p>
        </w:tc>
        <w:tc>
          <w:tcPr>
            <w:tcW w:w="1080" w:type="dxa"/>
            <w:tcBorders>
              <w:top w:val="nil"/>
              <w:left w:val="nil"/>
              <w:bottom w:val="single" w:color="auto" w:sz="4" w:space="0"/>
              <w:right w:val="single" w:color="auto" w:sz="4" w:space="0"/>
            </w:tcBorders>
            <w:noWrap w:val="0"/>
            <w:vAlign w:val="bottom"/>
          </w:tcPr>
          <w:p>
            <w:pPr>
              <w:widowControl/>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trHeight w:val="405" w:hRule="atLeast"/>
        </w:trPr>
        <w:tc>
          <w:tcPr>
            <w:tcW w:w="7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szCs w:val="21"/>
                <w:highlight w:val="none"/>
              </w:rPr>
            </w:pPr>
          </w:p>
        </w:tc>
        <w:tc>
          <w:tcPr>
            <w:tcW w:w="6376" w:type="dxa"/>
            <w:gridSpan w:val="2"/>
            <w:tcBorders>
              <w:top w:val="nil"/>
              <w:left w:val="nil"/>
              <w:bottom w:val="single" w:color="auto" w:sz="4" w:space="0"/>
              <w:right w:val="single" w:color="auto" w:sz="4" w:space="0"/>
            </w:tcBorders>
            <w:noWrap w:val="0"/>
            <w:vAlign w:val="bottom"/>
          </w:tcPr>
          <w:p>
            <w:pPr>
              <w:widowControl/>
              <w:jc w:val="left"/>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eastAsiaTheme="minorEastAsia" w:cstheme="minorEastAsia"/>
                <w:szCs w:val="21"/>
                <w:highlight w:val="none"/>
              </w:rPr>
              <w:t>5.各项服务人员培训、检查到位。</w:t>
            </w:r>
            <w:r>
              <w:rPr>
                <w:rFonts w:hint="eastAsia" w:asciiTheme="minorEastAsia" w:hAnsiTheme="minorEastAsia" w:eastAsiaTheme="minorEastAsia" w:cstheme="minorEastAsia"/>
                <w:szCs w:val="21"/>
                <w:highlight w:val="none"/>
                <w:lang w:eastAsia="zh-CN"/>
              </w:rPr>
              <w:t>没有</w:t>
            </w:r>
            <w:r>
              <w:rPr>
                <w:rFonts w:hint="eastAsia" w:asciiTheme="minorEastAsia" w:hAnsiTheme="minorEastAsia" w:eastAsiaTheme="minorEastAsia" w:cstheme="minorEastAsia"/>
                <w:szCs w:val="21"/>
                <w:highlight w:val="none"/>
              </w:rPr>
              <w:t>服务人员培训</w:t>
            </w:r>
            <w:r>
              <w:rPr>
                <w:rFonts w:hint="eastAsia" w:asciiTheme="minorEastAsia" w:hAnsiTheme="minorEastAsia" w:eastAsiaTheme="minorEastAsia" w:cstheme="minorEastAsia"/>
                <w:szCs w:val="21"/>
                <w:highlight w:val="none"/>
                <w:lang w:eastAsia="zh-CN"/>
              </w:rPr>
              <w:t>记录扣</w:t>
            </w:r>
            <w:r>
              <w:rPr>
                <w:rFonts w:hint="eastAsia" w:asciiTheme="minorEastAsia" w:hAnsiTheme="minorEastAsia" w:eastAsiaTheme="minorEastAsia" w:cstheme="minorEastAsia"/>
                <w:szCs w:val="21"/>
                <w:highlight w:val="none"/>
                <w:lang w:val="en-US" w:eastAsia="zh-CN"/>
              </w:rPr>
              <w:t>6分。</w:t>
            </w:r>
          </w:p>
        </w:tc>
        <w:tc>
          <w:tcPr>
            <w:tcW w:w="720" w:type="dxa"/>
            <w:tcBorders>
              <w:top w:val="nil"/>
              <w:left w:val="nil"/>
              <w:bottom w:val="single" w:color="auto" w:sz="4" w:space="0"/>
              <w:right w:val="single" w:color="auto" w:sz="4" w:space="0"/>
            </w:tcBorders>
            <w:noWrap w:val="0"/>
            <w:vAlign w:val="bottom"/>
          </w:tcPr>
          <w:p>
            <w:pPr>
              <w:widowControl/>
              <w:jc w:val="left"/>
              <w:rPr>
                <w:rFonts w:hint="eastAsia" w:asciiTheme="minorEastAsia" w:hAnsiTheme="minorEastAsia" w:eastAsiaTheme="minorEastAsia" w:cstheme="minorEastAsia"/>
                <w:szCs w:val="21"/>
                <w:highlight w:val="none"/>
              </w:rPr>
            </w:pPr>
          </w:p>
        </w:tc>
        <w:tc>
          <w:tcPr>
            <w:tcW w:w="1080" w:type="dxa"/>
            <w:tcBorders>
              <w:top w:val="nil"/>
              <w:left w:val="nil"/>
              <w:bottom w:val="single" w:color="auto" w:sz="4" w:space="0"/>
              <w:right w:val="single" w:color="auto" w:sz="4" w:space="0"/>
            </w:tcBorders>
            <w:noWrap w:val="0"/>
            <w:vAlign w:val="bottom"/>
          </w:tcPr>
          <w:p>
            <w:pPr>
              <w:widowControl/>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trHeight w:val="705" w:hRule="atLeast"/>
        </w:trPr>
        <w:tc>
          <w:tcPr>
            <w:tcW w:w="7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szCs w:val="21"/>
                <w:highlight w:val="none"/>
              </w:rPr>
            </w:pPr>
          </w:p>
        </w:tc>
        <w:tc>
          <w:tcPr>
            <w:tcW w:w="6376" w:type="dxa"/>
            <w:gridSpan w:val="2"/>
            <w:tcBorders>
              <w:top w:val="nil"/>
              <w:left w:val="nil"/>
              <w:bottom w:val="single" w:color="auto" w:sz="4" w:space="0"/>
              <w:right w:val="single" w:color="auto" w:sz="4" w:space="0"/>
            </w:tcBorders>
            <w:noWrap w:val="0"/>
            <w:vAlign w:val="bottom"/>
          </w:tcPr>
          <w:p>
            <w:pPr>
              <w:widowControl/>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6.服务人员按招标数足额配备，无缺岗现象。未按要求配备工作人员，每人每次扣2分。</w:t>
            </w:r>
          </w:p>
        </w:tc>
        <w:tc>
          <w:tcPr>
            <w:tcW w:w="720" w:type="dxa"/>
            <w:tcBorders>
              <w:top w:val="nil"/>
              <w:left w:val="nil"/>
              <w:bottom w:val="single" w:color="auto" w:sz="4" w:space="0"/>
              <w:right w:val="single" w:color="auto" w:sz="4" w:space="0"/>
            </w:tcBorders>
            <w:noWrap w:val="0"/>
            <w:vAlign w:val="bottom"/>
          </w:tcPr>
          <w:p>
            <w:pPr>
              <w:widowControl/>
              <w:jc w:val="left"/>
              <w:rPr>
                <w:rFonts w:hint="eastAsia" w:asciiTheme="minorEastAsia" w:hAnsiTheme="minorEastAsia" w:eastAsiaTheme="minorEastAsia" w:cstheme="minorEastAsia"/>
                <w:szCs w:val="21"/>
                <w:highlight w:val="none"/>
              </w:rPr>
            </w:pPr>
          </w:p>
        </w:tc>
        <w:tc>
          <w:tcPr>
            <w:tcW w:w="1080" w:type="dxa"/>
            <w:tcBorders>
              <w:top w:val="nil"/>
              <w:left w:val="nil"/>
              <w:bottom w:val="single" w:color="auto" w:sz="4" w:space="0"/>
              <w:right w:val="single" w:color="auto" w:sz="4" w:space="0"/>
            </w:tcBorders>
            <w:noWrap w:val="0"/>
            <w:vAlign w:val="bottom"/>
          </w:tcPr>
          <w:p>
            <w:pPr>
              <w:widowControl/>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trHeight w:val="1155" w:hRule="atLeast"/>
        </w:trPr>
        <w:tc>
          <w:tcPr>
            <w:tcW w:w="7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szCs w:val="21"/>
                <w:highlight w:val="none"/>
              </w:rPr>
            </w:pPr>
          </w:p>
        </w:tc>
        <w:tc>
          <w:tcPr>
            <w:tcW w:w="6376" w:type="dxa"/>
            <w:gridSpan w:val="2"/>
            <w:tcBorders>
              <w:top w:val="nil"/>
              <w:left w:val="nil"/>
              <w:bottom w:val="single" w:color="auto" w:sz="4" w:space="0"/>
              <w:right w:val="single" w:color="auto" w:sz="4" w:space="0"/>
            </w:tcBorders>
            <w:noWrap w:val="0"/>
            <w:vAlign w:val="bottom"/>
          </w:tcPr>
          <w:p>
            <w:pPr>
              <w:widowControl/>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7.服务人员素质符合岗位标准要求（含年龄、文化程度、资格证等）。人员着装、礼仪、言谈等文明规范。作业人员不按规定穿着统一工装、佩戴工作证、口罩等，每人每次扣1分。</w:t>
            </w:r>
          </w:p>
        </w:tc>
        <w:tc>
          <w:tcPr>
            <w:tcW w:w="720" w:type="dxa"/>
            <w:tcBorders>
              <w:top w:val="nil"/>
              <w:left w:val="nil"/>
              <w:bottom w:val="single" w:color="auto" w:sz="4" w:space="0"/>
              <w:right w:val="single" w:color="auto" w:sz="4" w:space="0"/>
            </w:tcBorders>
            <w:noWrap w:val="0"/>
            <w:vAlign w:val="bottom"/>
          </w:tcPr>
          <w:p>
            <w:pPr>
              <w:widowControl/>
              <w:jc w:val="left"/>
              <w:rPr>
                <w:rFonts w:hint="eastAsia" w:asciiTheme="minorEastAsia" w:hAnsiTheme="minorEastAsia" w:eastAsiaTheme="minorEastAsia" w:cstheme="minorEastAsia"/>
                <w:szCs w:val="21"/>
                <w:highlight w:val="none"/>
              </w:rPr>
            </w:pPr>
          </w:p>
        </w:tc>
        <w:tc>
          <w:tcPr>
            <w:tcW w:w="1080" w:type="dxa"/>
            <w:tcBorders>
              <w:top w:val="nil"/>
              <w:left w:val="nil"/>
              <w:bottom w:val="single" w:color="auto" w:sz="4" w:space="0"/>
              <w:right w:val="single" w:color="auto" w:sz="4" w:space="0"/>
            </w:tcBorders>
            <w:noWrap w:val="0"/>
            <w:vAlign w:val="bottom"/>
          </w:tcPr>
          <w:p>
            <w:pPr>
              <w:widowControl/>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trHeight w:val="615" w:hRule="atLeast"/>
        </w:trPr>
        <w:tc>
          <w:tcPr>
            <w:tcW w:w="7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szCs w:val="21"/>
                <w:highlight w:val="none"/>
              </w:rPr>
            </w:pPr>
          </w:p>
        </w:tc>
        <w:tc>
          <w:tcPr>
            <w:tcW w:w="6376" w:type="dxa"/>
            <w:gridSpan w:val="2"/>
            <w:tcBorders>
              <w:top w:val="nil"/>
              <w:left w:val="nil"/>
              <w:bottom w:val="single" w:color="auto" w:sz="4" w:space="0"/>
              <w:right w:val="single" w:color="auto" w:sz="4" w:space="0"/>
            </w:tcBorders>
            <w:noWrap w:val="0"/>
            <w:vAlign w:val="bottom"/>
          </w:tcPr>
          <w:p>
            <w:pPr>
              <w:widowControl/>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8.各类操作工具、消耗品配备充足，供应及时。未按要求配备，每次扣2分。</w:t>
            </w:r>
          </w:p>
        </w:tc>
        <w:tc>
          <w:tcPr>
            <w:tcW w:w="720" w:type="dxa"/>
            <w:tcBorders>
              <w:top w:val="nil"/>
              <w:left w:val="nil"/>
              <w:bottom w:val="single" w:color="auto" w:sz="4" w:space="0"/>
              <w:right w:val="single" w:color="auto" w:sz="4" w:space="0"/>
            </w:tcBorders>
            <w:noWrap w:val="0"/>
            <w:vAlign w:val="bottom"/>
          </w:tcPr>
          <w:p>
            <w:pPr>
              <w:widowControl/>
              <w:jc w:val="left"/>
              <w:rPr>
                <w:rFonts w:hint="eastAsia" w:asciiTheme="minorEastAsia" w:hAnsiTheme="minorEastAsia" w:eastAsiaTheme="minorEastAsia" w:cstheme="minorEastAsia"/>
                <w:szCs w:val="21"/>
                <w:highlight w:val="none"/>
              </w:rPr>
            </w:pPr>
          </w:p>
        </w:tc>
        <w:tc>
          <w:tcPr>
            <w:tcW w:w="1080" w:type="dxa"/>
            <w:tcBorders>
              <w:top w:val="nil"/>
              <w:left w:val="nil"/>
              <w:bottom w:val="single" w:color="auto" w:sz="4" w:space="0"/>
              <w:right w:val="single" w:color="auto" w:sz="4" w:space="0"/>
            </w:tcBorders>
            <w:noWrap w:val="0"/>
            <w:vAlign w:val="bottom"/>
          </w:tcPr>
          <w:p>
            <w:pPr>
              <w:widowControl/>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trHeight w:val="675" w:hRule="atLeast"/>
        </w:trPr>
        <w:tc>
          <w:tcPr>
            <w:tcW w:w="740" w:type="dxa"/>
            <w:vMerge w:val="restart"/>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落实公园</w:t>
            </w:r>
            <w:r>
              <w:rPr>
                <w:rFonts w:hint="eastAsia" w:asciiTheme="minorEastAsia" w:hAnsiTheme="minorEastAsia" w:eastAsiaTheme="minorEastAsia" w:cstheme="minorEastAsia"/>
                <w:szCs w:val="21"/>
                <w:highlight w:val="none"/>
                <w:lang w:eastAsia="zh-CN"/>
              </w:rPr>
              <w:t>白蚁</w:t>
            </w:r>
            <w:r>
              <w:rPr>
                <w:rFonts w:hint="eastAsia" w:asciiTheme="minorEastAsia" w:hAnsiTheme="minorEastAsia" w:eastAsiaTheme="minorEastAsia" w:cstheme="minorEastAsia"/>
                <w:szCs w:val="21"/>
                <w:highlight w:val="none"/>
              </w:rPr>
              <w:t>防治工作实施具体情况</w:t>
            </w:r>
          </w:p>
        </w:tc>
        <w:tc>
          <w:tcPr>
            <w:tcW w:w="6376" w:type="dxa"/>
            <w:gridSpan w:val="2"/>
            <w:tcBorders>
              <w:top w:val="nil"/>
              <w:left w:val="nil"/>
              <w:bottom w:val="single" w:color="auto" w:sz="4" w:space="0"/>
              <w:right w:val="single" w:color="auto" w:sz="4" w:space="0"/>
            </w:tcBorders>
            <w:noWrap w:val="0"/>
            <w:vAlign w:val="bottom"/>
          </w:tcPr>
          <w:p>
            <w:pPr>
              <w:widowControl/>
              <w:jc w:val="left"/>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eastAsiaTheme="minorEastAsia" w:cstheme="minorEastAsia"/>
                <w:szCs w:val="21"/>
                <w:highlight w:val="none"/>
              </w:rPr>
              <w:t>9.工作人员在服务过程中，不能随意破坏公园有关设施，不能在公园内进行违法、违规行为。</w:t>
            </w:r>
            <w:r>
              <w:rPr>
                <w:rFonts w:hint="eastAsia" w:asciiTheme="minorEastAsia" w:hAnsiTheme="minorEastAsia" w:eastAsiaTheme="minorEastAsia" w:cstheme="minorEastAsia"/>
                <w:szCs w:val="21"/>
                <w:highlight w:val="none"/>
                <w:lang w:eastAsia="zh-CN"/>
              </w:rPr>
              <w:t>如果有破坏公园设施行为，除要求照价赔偿外，每次扣</w:t>
            </w:r>
            <w:r>
              <w:rPr>
                <w:rFonts w:hint="eastAsia" w:asciiTheme="minorEastAsia" w:hAnsiTheme="minorEastAsia" w:eastAsiaTheme="minorEastAsia" w:cstheme="minorEastAsia"/>
                <w:szCs w:val="21"/>
                <w:highlight w:val="none"/>
                <w:lang w:val="en-US" w:eastAsia="zh-CN"/>
              </w:rPr>
              <w:t>5分。如有其他违规行为，要求责令立刻整改外，每次扣5分。</w:t>
            </w:r>
          </w:p>
        </w:tc>
        <w:tc>
          <w:tcPr>
            <w:tcW w:w="720" w:type="dxa"/>
            <w:tcBorders>
              <w:top w:val="nil"/>
              <w:left w:val="nil"/>
              <w:bottom w:val="single" w:color="auto" w:sz="4" w:space="0"/>
              <w:right w:val="single" w:color="auto" w:sz="4" w:space="0"/>
            </w:tcBorders>
            <w:noWrap w:val="0"/>
            <w:vAlign w:val="bottom"/>
          </w:tcPr>
          <w:p>
            <w:pPr>
              <w:widowControl/>
              <w:jc w:val="left"/>
              <w:rPr>
                <w:rFonts w:hint="eastAsia" w:asciiTheme="minorEastAsia" w:hAnsiTheme="minorEastAsia" w:eastAsiaTheme="minorEastAsia" w:cstheme="minorEastAsia"/>
                <w:szCs w:val="21"/>
                <w:highlight w:val="none"/>
              </w:rPr>
            </w:pPr>
          </w:p>
        </w:tc>
        <w:tc>
          <w:tcPr>
            <w:tcW w:w="1080" w:type="dxa"/>
            <w:tcBorders>
              <w:top w:val="nil"/>
              <w:left w:val="nil"/>
              <w:bottom w:val="single" w:color="auto" w:sz="4" w:space="0"/>
              <w:right w:val="single" w:color="auto" w:sz="4" w:space="0"/>
            </w:tcBorders>
            <w:noWrap w:val="0"/>
            <w:vAlign w:val="bottom"/>
          </w:tcPr>
          <w:p>
            <w:pPr>
              <w:widowControl/>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trHeight w:val="945" w:hRule="atLeast"/>
        </w:trPr>
        <w:tc>
          <w:tcPr>
            <w:tcW w:w="7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szCs w:val="21"/>
                <w:highlight w:val="none"/>
              </w:rPr>
            </w:pPr>
          </w:p>
        </w:tc>
        <w:tc>
          <w:tcPr>
            <w:tcW w:w="6376" w:type="dxa"/>
            <w:gridSpan w:val="2"/>
            <w:tcBorders>
              <w:top w:val="nil"/>
              <w:left w:val="nil"/>
              <w:bottom w:val="single" w:color="auto" w:sz="4" w:space="0"/>
              <w:right w:val="single" w:color="auto" w:sz="4" w:space="0"/>
            </w:tcBorders>
            <w:noWrap w:val="0"/>
            <w:vAlign w:val="bottom"/>
          </w:tcPr>
          <w:p>
            <w:pPr>
              <w:widowControl/>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10.中标单位使用的器材、药水质量要符合有关要求规定。在消杀过程中若因使用药剂质量问题造成公园内绿化景观植物出现干枯、萎靡不振的，每次扣6分。</w:t>
            </w:r>
          </w:p>
        </w:tc>
        <w:tc>
          <w:tcPr>
            <w:tcW w:w="720" w:type="dxa"/>
            <w:tcBorders>
              <w:top w:val="nil"/>
              <w:left w:val="nil"/>
              <w:bottom w:val="single" w:color="auto" w:sz="4" w:space="0"/>
              <w:right w:val="single" w:color="auto" w:sz="4" w:space="0"/>
            </w:tcBorders>
            <w:noWrap w:val="0"/>
            <w:vAlign w:val="bottom"/>
          </w:tcPr>
          <w:p>
            <w:pPr>
              <w:widowControl/>
              <w:jc w:val="left"/>
              <w:rPr>
                <w:rFonts w:hint="eastAsia" w:asciiTheme="minorEastAsia" w:hAnsiTheme="minorEastAsia" w:eastAsiaTheme="minorEastAsia" w:cstheme="minorEastAsia"/>
                <w:szCs w:val="21"/>
                <w:highlight w:val="none"/>
              </w:rPr>
            </w:pPr>
          </w:p>
        </w:tc>
        <w:tc>
          <w:tcPr>
            <w:tcW w:w="1080" w:type="dxa"/>
            <w:tcBorders>
              <w:top w:val="nil"/>
              <w:left w:val="nil"/>
              <w:bottom w:val="single" w:color="auto" w:sz="4" w:space="0"/>
              <w:right w:val="single" w:color="auto" w:sz="4" w:space="0"/>
            </w:tcBorders>
            <w:noWrap w:val="0"/>
            <w:vAlign w:val="bottom"/>
          </w:tcPr>
          <w:p>
            <w:pPr>
              <w:widowControl/>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trHeight w:val="630" w:hRule="atLeast"/>
        </w:trPr>
        <w:tc>
          <w:tcPr>
            <w:tcW w:w="7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szCs w:val="21"/>
                <w:highlight w:val="none"/>
              </w:rPr>
            </w:pPr>
          </w:p>
        </w:tc>
        <w:tc>
          <w:tcPr>
            <w:tcW w:w="6376" w:type="dxa"/>
            <w:gridSpan w:val="2"/>
            <w:tcBorders>
              <w:top w:val="nil"/>
              <w:left w:val="nil"/>
              <w:bottom w:val="single" w:color="auto" w:sz="4" w:space="0"/>
              <w:right w:val="single" w:color="auto" w:sz="4" w:space="0"/>
            </w:tcBorders>
            <w:noWrap w:val="0"/>
            <w:vAlign w:val="bottom"/>
          </w:tcPr>
          <w:p>
            <w:pPr>
              <w:widowControl/>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11.每月检查蚁迹不少于四次，发现蚁迹立即加强防治。少一次扣2分。</w:t>
            </w:r>
          </w:p>
        </w:tc>
        <w:tc>
          <w:tcPr>
            <w:tcW w:w="720" w:type="dxa"/>
            <w:tcBorders>
              <w:top w:val="nil"/>
              <w:left w:val="nil"/>
              <w:bottom w:val="single" w:color="auto" w:sz="4" w:space="0"/>
              <w:right w:val="single" w:color="auto" w:sz="4" w:space="0"/>
            </w:tcBorders>
            <w:noWrap w:val="0"/>
            <w:vAlign w:val="bottom"/>
          </w:tcPr>
          <w:p>
            <w:pPr>
              <w:widowControl/>
              <w:jc w:val="left"/>
              <w:rPr>
                <w:rFonts w:hint="eastAsia" w:asciiTheme="minorEastAsia" w:hAnsiTheme="minorEastAsia" w:eastAsiaTheme="minorEastAsia" w:cstheme="minorEastAsia"/>
                <w:szCs w:val="21"/>
                <w:highlight w:val="none"/>
              </w:rPr>
            </w:pPr>
          </w:p>
        </w:tc>
        <w:tc>
          <w:tcPr>
            <w:tcW w:w="1080" w:type="dxa"/>
            <w:tcBorders>
              <w:top w:val="nil"/>
              <w:left w:val="nil"/>
              <w:bottom w:val="single" w:color="auto" w:sz="4" w:space="0"/>
              <w:right w:val="single" w:color="auto" w:sz="4" w:space="0"/>
            </w:tcBorders>
            <w:noWrap w:val="0"/>
            <w:vAlign w:val="bottom"/>
          </w:tcPr>
          <w:p>
            <w:pPr>
              <w:widowControl/>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trHeight w:val="345" w:hRule="atLeast"/>
        </w:trPr>
        <w:tc>
          <w:tcPr>
            <w:tcW w:w="7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szCs w:val="21"/>
                <w:highlight w:val="none"/>
              </w:rPr>
            </w:pPr>
          </w:p>
        </w:tc>
        <w:tc>
          <w:tcPr>
            <w:tcW w:w="6376" w:type="dxa"/>
            <w:gridSpan w:val="2"/>
            <w:tcBorders>
              <w:top w:val="nil"/>
              <w:left w:val="nil"/>
              <w:bottom w:val="single" w:color="auto" w:sz="4" w:space="0"/>
              <w:right w:val="single" w:color="auto" w:sz="4" w:space="0"/>
            </w:tcBorders>
            <w:noWrap w:val="0"/>
            <w:vAlign w:val="bottom"/>
          </w:tcPr>
          <w:p>
            <w:pPr>
              <w:widowControl/>
              <w:jc w:val="left"/>
              <w:rPr>
                <w:rFonts w:hint="eastAsia" w:asciiTheme="minorEastAsia" w:hAnsiTheme="minorEastAsia" w:eastAsiaTheme="minorEastAsia" w:cstheme="minorEastAsia"/>
                <w:szCs w:val="21"/>
                <w:highlight w:val="none"/>
                <w:lang w:val="en-US" w:eastAsia="zh-CN"/>
              </w:rPr>
            </w:pPr>
            <w:r>
              <w:rPr>
                <w:rFonts w:hint="eastAsia" w:asciiTheme="minorEastAsia" w:hAnsiTheme="minorEastAsia" w:eastAsiaTheme="minorEastAsia" w:cstheme="minorEastAsia"/>
                <w:szCs w:val="21"/>
                <w:highlight w:val="none"/>
              </w:rPr>
              <w:t>12.突发事件处理妥当，善后工作好。</w:t>
            </w:r>
            <w:r>
              <w:rPr>
                <w:rFonts w:hint="eastAsia" w:asciiTheme="minorEastAsia" w:hAnsiTheme="minorEastAsia" w:eastAsiaTheme="minorEastAsia" w:cstheme="minorEastAsia"/>
                <w:szCs w:val="21"/>
                <w:highlight w:val="none"/>
                <w:lang w:eastAsia="zh-CN"/>
              </w:rPr>
              <w:t>如不配合突发事件处理工作，每次扣</w:t>
            </w:r>
            <w:r>
              <w:rPr>
                <w:rFonts w:hint="eastAsia" w:asciiTheme="minorEastAsia" w:hAnsiTheme="minorEastAsia" w:eastAsiaTheme="minorEastAsia" w:cstheme="minorEastAsia"/>
                <w:szCs w:val="21"/>
                <w:highlight w:val="none"/>
                <w:lang w:val="en-US" w:eastAsia="zh-CN"/>
              </w:rPr>
              <w:t>6分。</w:t>
            </w:r>
          </w:p>
        </w:tc>
        <w:tc>
          <w:tcPr>
            <w:tcW w:w="720" w:type="dxa"/>
            <w:tcBorders>
              <w:top w:val="nil"/>
              <w:left w:val="nil"/>
              <w:bottom w:val="single" w:color="auto" w:sz="4" w:space="0"/>
              <w:right w:val="single" w:color="auto" w:sz="4" w:space="0"/>
            </w:tcBorders>
            <w:noWrap w:val="0"/>
            <w:vAlign w:val="bottom"/>
          </w:tcPr>
          <w:p>
            <w:pPr>
              <w:widowControl/>
              <w:jc w:val="left"/>
              <w:rPr>
                <w:rFonts w:hint="eastAsia" w:asciiTheme="minorEastAsia" w:hAnsiTheme="minorEastAsia" w:eastAsiaTheme="minorEastAsia" w:cstheme="minorEastAsia"/>
                <w:szCs w:val="21"/>
                <w:highlight w:val="none"/>
              </w:rPr>
            </w:pPr>
          </w:p>
        </w:tc>
        <w:tc>
          <w:tcPr>
            <w:tcW w:w="1080" w:type="dxa"/>
            <w:tcBorders>
              <w:top w:val="nil"/>
              <w:left w:val="nil"/>
              <w:bottom w:val="single" w:color="auto" w:sz="4" w:space="0"/>
              <w:right w:val="single" w:color="auto" w:sz="4" w:space="0"/>
            </w:tcBorders>
            <w:noWrap w:val="0"/>
            <w:vAlign w:val="bottom"/>
          </w:tcPr>
          <w:p>
            <w:pPr>
              <w:widowControl/>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trHeight w:val="885" w:hRule="atLeast"/>
        </w:trPr>
        <w:tc>
          <w:tcPr>
            <w:tcW w:w="7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szCs w:val="21"/>
                <w:highlight w:val="none"/>
              </w:rPr>
            </w:pPr>
          </w:p>
        </w:tc>
        <w:tc>
          <w:tcPr>
            <w:tcW w:w="6376" w:type="dxa"/>
            <w:gridSpan w:val="2"/>
            <w:tcBorders>
              <w:top w:val="nil"/>
              <w:left w:val="nil"/>
              <w:bottom w:val="single" w:color="auto" w:sz="4" w:space="0"/>
              <w:right w:val="single" w:color="auto" w:sz="4" w:space="0"/>
            </w:tcBorders>
            <w:noWrap w:val="0"/>
            <w:vAlign w:val="bottom"/>
          </w:tcPr>
          <w:p>
            <w:pPr>
              <w:widowControl/>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13.上级检查评价好，社会相关部门、人员无不良反映。上级部门和新闻媒介批评曝光的问题，实属中标人责任的，每宗扣10分。</w:t>
            </w:r>
          </w:p>
        </w:tc>
        <w:tc>
          <w:tcPr>
            <w:tcW w:w="720" w:type="dxa"/>
            <w:tcBorders>
              <w:top w:val="nil"/>
              <w:left w:val="nil"/>
              <w:bottom w:val="single" w:color="auto" w:sz="4" w:space="0"/>
              <w:right w:val="single" w:color="auto" w:sz="4" w:space="0"/>
            </w:tcBorders>
            <w:noWrap w:val="0"/>
            <w:vAlign w:val="bottom"/>
          </w:tcPr>
          <w:p>
            <w:pPr>
              <w:widowControl/>
              <w:jc w:val="left"/>
              <w:rPr>
                <w:rFonts w:hint="eastAsia" w:asciiTheme="minorEastAsia" w:hAnsiTheme="minorEastAsia" w:eastAsiaTheme="minorEastAsia" w:cstheme="minorEastAsia"/>
                <w:szCs w:val="21"/>
                <w:highlight w:val="none"/>
              </w:rPr>
            </w:pPr>
          </w:p>
        </w:tc>
        <w:tc>
          <w:tcPr>
            <w:tcW w:w="1080" w:type="dxa"/>
            <w:tcBorders>
              <w:top w:val="nil"/>
              <w:left w:val="nil"/>
              <w:bottom w:val="single" w:color="auto" w:sz="4" w:space="0"/>
              <w:right w:val="single" w:color="auto" w:sz="4" w:space="0"/>
            </w:tcBorders>
            <w:noWrap w:val="0"/>
            <w:vAlign w:val="bottom"/>
          </w:tcPr>
          <w:p>
            <w:pPr>
              <w:widowControl/>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trHeight w:val="381" w:hRule="atLeast"/>
        </w:trPr>
        <w:tc>
          <w:tcPr>
            <w:tcW w:w="7116"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szCs w:val="21"/>
                <w:highlight w:val="none"/>
                <w:lang w:eastAsia="zh-CN"/>
              </w:rPr>
            </w:pPr>
            <w:r>
              <w:rPr>
                <w:rFonts w:hint="eastAsia" w:asciiTheme="minorEastAsia" w:hAnsiTheme="minorEastAsia" w:eastAsiaTheme="minorEastAsia" w:cstheme="minorEastAsia"/>
                <w:szCs w:val="21"/>
                <w:highlight w:val="none"/>
                <w:lang w:eastAsia="zh-CN"/>
              </w:rPr>
              <w:t>累</w:t>
            </w:r>
            <w:r>
              <w:rPr>
                <w:rFonts w:hint="eastAsia" w:asciiTheme="minorEastAsia" w:hAnsiTheme="minorEastAsia" w:eastAsiaTheme="minorEastAsia" w:cstheme="minorEastAsia"/>
                <w:szCs w:val="21"/>
                <w:highlight w:val="none"/>
                <w:lang w:val="en-US" w:eastAsia="zh-CN"/>
              </w:rPr>
              <w:t xml:space="preserve"> </w:t>
            </w:r>
            <w:r>
              <w:rPr>
                <w:rFonts w:hint="eastAsia" w:asciiTheme="minorEastAsia" w:hAnsiTheme="minorEastAsia" w:eastAsiaTheme="minorEastAsia" w:cstheme="minorEastAsia"/>
                <w:szCs w:val="21"/>
                <w:highlight w:val="none"/>
                <w:lang w:eastAsia="zh-CN"/>
              </w:rPr>
              <w:t>计</w:t>
            </w:r>
            <w:r>
              <w:rPr>
                <w:rFonts w:hint="eastAsia" w:asciiTheme="minorEastAsia" w:hAnsiTheme="minorEastAsia" w:eastAsiaTheme="minorEastAsia" w:cstheme="minorEastAsia"/>
                <w:szCs w:val="21"/>
                <w:highlight w:val="none"/>
                <w:lang w:val="en-US" w:eastAsia="zh-CN"/>
              </w:rPr>
              <w:t xml:space="preserve"> </w:t>
            </w:r>
            <w:r>
              <w:rPr>
                <w:rFonts w:hint="eastAsia" w:asciiTheme="minorEastAsia" w:hAnsiTheme="minorEastAsia" w:eastAsiaTheme="minorEastAsia" w:cstheme="minorEastAsia"/>
                <w:szCs w:val="21"/>
                <w:highlight w:val="none"/>
                <w:lang w:eastAsia="zh-CN"/>
              </w:rPr>
              <w:t>扣</w:t>
            </w:r>
            <w:r>
              <w:rPr>
                <w:rFonts w:hint="eastAsia" w:asciiTheme="minorEastAsia" w:hAnsiTheme="minorEastAsia" w:eastAsiaTheme="minorEastAsia" w:cstheme="minorEastAsia"/>
                <w:szCs w:val="21"/>
                <w:highlight w:val="none"/>
                <w:lang w:val="en-US" w:eastAsia="zh-CN"/>
              </w:rPr>
              <w:t xml:space="preserve"> </w:t>
            </w:r>
            <w:r>
              <w:rPr>
                <w:rFonts w:hint="eastAsia" w:asciiTheme="minorEastAsia" w:hAnsiTheme="minorEastAsia" w:eastAsiaTheme="minorEastAsia" w:cstheme="minorEastAsia"/>
                <w:szCs w:val="21"/>
                <w:highlight w:val="none"/>
                <w:lang w:eastAsia="zh-CN"/>
              </w:rPr>
              <w:t>分</w:t>
            </w:r>
          </w:p>
        </w:tc>
        <w:tc>
          <w:tcPr>
            <w:tcW w:w="1800" w:type="dxa"/>
            <w:gridSpan w:val="2"/>
            <w:tcBorders>
              <w:top w:val="single" w:color="auto" w:sz="4" w:space="0"/>
              <w:left w:val="single" w:color="auto" w:sz="4" w:space="0"/>
              <w:bottom w:val="single" w:color="auto" w:sz="4" w:space="0"/>
              <w:right w:val="single" w:color="auto" w:sz="4" w:space="0"/>
            </w:tcBorders>
            <w:noWrap w:val="0"/>
            <w:vAlign w:val="bottom"/>
          </w:tcPr>
          <w:p>
            <w:pPr>
              <w:widowControl/>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trHeight w:val="258" w:hRule="atLeast"/>
        </w:trPr>
        <w:tc>
          <w:tcPr>
            <w:tcW w:w="2289"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其他需说明的情况</w:t>
            </w:r>
          </w:p>
        </w:tc>
        <w:tc>
          <w:tcPr>
            <w:tcW w:w="482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szCs w:val="21"/>
                <w:highlight w:val="none"/>
              </w:rPr>
            </w:pPr>
          </w:p>
        </w:tc>
        <w:tc>
          <w:tcPr>
            <w:tcW w:w="1800" w:type="dxa"/>
            <w:gridSpan w:val="2"/>
            <w:tcBorders>
              <w:top w:val="single" w:color="auto" w:sz="4" w:space="0"/>
              <w:left w:val="nil"/>
              <w:bottom w:val="single" w:color="auto" w:sz="4" w:space="0"/>
              <w:right w:val="single" w:color="auto" w:sz="4" w:space="0"/>
            </w:tcBorders>
            <w:noWrap w:val="0"/>
            <w:vAlign w:val="bottom"/>
          </w:tcPr>
          <w:p>
            <w:pPr>
              <w:widowControl/>
              <w:jc w:val="left"/>
              <w:rPr>
                <w:rFonts w:hint="eastAsia" w:asciiTheme="minorEastAsia" w:hAnsiTheme="minorEastAsia" w:eastAsiaTheme="minorEastAsia" w:cstheme="minorEastAsia"/>
                <w:szCs w:val="21"/>
                <w:highlight w:val="none"/>
              </w:rPr>
            </w:pPr>
          </w:p>
        </w:tc>
      </w:tr>
    </w:tbl>
    <w:p>
      <w:pPr>
        <w:pStyle w:val="5"/>
        <w:widowControl/>
        <w:rPr>
          <w:rFonts w:hint="eastAsia" w:asciiTheme="minorEastAsia" w:hAnsiTheme="minorEastAsia" w:eastAsiaTheme="minorEastAsia" w:cstheme="minorEastAsia"/>
          <w:sz w:val="24"/>
          <w:szCs w:val="24"/>
          <w:highlight w:val="none"/>
        </w:rPr>
      </w:pPr>
    </w:p>
    <w:p>
      <w:pPr>
        <w:pStyle w:val="5"/>
        <w:widowControl/>
        <w:spacing w:line="240" w:lineRule="auto"/>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kern w:val="2"/>
          <w:sz w:val="21"/>
          <w:szCs w:val="21"/>
          <w:highlight w:val="none"/>
          <w:lang w:val="en-US" w:eastAsia="zh-CN" w:bidi="ar-SA"/>
        </w:rPr>
        <w:t xml:space="preserve">受检单位参评人员（签名）： </w:t>
      </w:r>
      <w:r>
        <w:rPr>
          <w:rFonts w:hint="eastAsia" w:asciiTheme="minorEastAsia" w:hAnsiTheme="minorEastAsia" w:eastAsiaTheme="minorEastAsia" w:cstheme="minorEastAsia"/>
          <w:kern w:val="2"/>
          <w:sz w:val="21"/>
          <w:szCs w:val="21"/>
          <w:highlight w:val="none"/>
          <w:lang w:val="en-US" w:eastAsia="zh-CN" w:bidi="ar-SA"/>
        </w:rPr>
        <w:tab/>
      </w:r>
      <w:r>
        <w:rPr>
          <w:rFonts w:hint="eastAsia" w:asciiTheme="minorEastAsia" w:hAnsiTheme="minorEastAsia" w:eastAsiaTheme="minorEastAsia" w:cstheme="minorEastAsia"/>
          <w:kern w:val="2"/>
          <w:sz w:val="21"/>
          <w:szCs w:val="21"/>
          <w:highlight w:val="none"/>
          <w:lang w:val="en-US" w:eastAsia="zh-CN" w:bidi="ar-SA"/>
        </w:rPr>
        <w:t xml:space="preserve">                   检评单位检评人员</w:t>
      </w:r>
      <w:r>
        <w:rPr>
          <w:rFonts w:hint="eastAsia" w:asciiTheme="minorEastAsia" w:hAnsiTheme="minorEastAsia" w:eastAsiaTheme="minorEastAsia" w:cstheme="minorEastAsia"/>
          <w:kern w:val="2"/>
          <w:sz w:val="21"/>
          <w:szCs w:val="21"/>
          <w:highlight w:val="none"/>
          <w:lang w:eastAsia="zh-CN"/>
        </w:rPr>
        <w:t>（签名）</w:t>
      </w:r>
      <w:r>
        <w:rPr>
          <w:rFonts w:hint="eastAsia" w:asciiTheme="minorEastAsia" w:hAnsiTheme="minorEastAsia" w:eastAsiaTheme="minorEastAsia" w:cstheme="minorEastAsia"/>
          <w:kern w:val="2"/>
          <w:sz w:val="21"/>
          <w:szCs w:val="21"/>
          <w:highlight w:val="none"/>
          <w:lang w:val="en-US" w:eastAsia="zh-CN" w:bidi="ar-SA"/>
        </w:rPr>
        <w:t>：</w:t>
      </w:r>
    </w:p>
    <w:p>
      <w:pPr>
        <w:pStyle w:val="5"/>
        <w:widowControl/>
        <w:spacing w:line="240" w:lineRule="auto"/>
        <w:rPr>
          <w:rFonts w:hint="eastAsia" w:asciiTheme="minorEastAsia" w:hAnsiTheme="minorEastAsia" w:eastAsiaTheme="minorEastAsia" w:cstheme="minorEastAsia"/>
          <w:kern w:val="2"/>
          <w:sz w:val="21"/>
          <w:szCs w:val="21"/>
          <w:highlight w:val="none"/>
          <w:lang w:val="en-US" w:eastAsia="zh-CN" w:bidi="ar-SA"/>
        </w:rPr>
      </w:pPr>
    </w:p>
    <w:p>
      <w:pPr>
        <w:pStyle w:val="5"/>
        <w:widowControl/>
        <w:spacing w:line="360" w:lineRule="auto"/>
        <w:rPr>
          <w:rFonts w:hint="eastAsia" w:asciiTheme="minorEastAsia" w:hAnsiTheme="minorEastAsia" w:eastAsiaTheme="minorEastAsia" w:cstheme="minorEastAsia"/>
          <w:kern w:val="2"/>
          <w:sz w:val="21"/>
          <w:szCs w:val="21"/>
          <w:highlight w:val="none"/>
          <w:lang w:val="en-US" w:eastAsia="zh-CN" w:bidi="ar-SA"/>
        </w:rPr>
      </w:pPr>
      <w:r>
        <w:rPr>
          <w:rFonts w:hint="eastAsia" w:asciiTheme="minorEastAsia" w:hAnsiTheme="minorEastAsia" w:eastAsiaTheme="minorEastAsia" w:cstheme="minorEastAsia"/>
          <w:kern w:val="2"/>
          <w:sz w:val="21"/>
          <w:szCs w:val="21"/>
          <w:highlight w:val="none"/>
          <w:lang w:val="en-US" w:eastAsia="zh-CN" w:bidi="ar-SA"/>
        </w:rPr>
        <w:t>受检单位负责人（签名）：                        检评单位负责人（签名）：</w:t>
      </w:r>
    </w:p>
    <w:p>
      <w:pPr>
        <w:pStyle w:val="5"/>
        <w:widowControl/>
        <w:rPr>
          <w:rFonts w:hint="eastAsia" w:asciiTheme="minorEastAsia" w:hAnsiTheme="minorEastAsia" w:eastAsiaTheme="minorEastAsia" w:cstheme="minorEastAsia"/>
          <w:highlight w:val="none"/>
        </w:rPr>
      </w:pPr>
    </w:p>
    <w:p>
      <w:pPr>
        <w:pStyle w:val="5"/>
        <w:widowControl/>
        <w:jc w:val="both"/>
        <w:rPr>
          <w:rFonts w:hint="eastAsia" w:asciiTheme="minorEastAsia" w:hAnsiTheme="minorEastAsia" w:eastAsiaTheme="minorEastAsia" w:cstheme="minorEastAsia"/>
          <w:b/>
          <w:sz w:val="36"/>
          <w:szCs w:val="36"/>
          <w:highlight w:val="none"/>
        </w:rPr>
      </w:pPr>
    </w:p>
    <w:p>
      <w:pPr>
        <w:pStyle w:val="5"/>
        <w:widowControl/>
        <w:jc w:val="both"/>
        <w:rPr>
          <w:rFonts w:hint="eastAsia" w:asciiTheme="minorEastAsia" w:hAnsiTheme="minorEastAsia" w:eastAsiaTheme="minorEastAsia" w:cstheme="minorEastAsia"/>
          <w:b/>
          <w:sz w:val="36"/>
          <w:szCs w:val="36"/>
          <w:highlight w:val="none"/>
        </w:rPr>
      </w:pPr>
    </w:p>
    <w:p>
      <w:pPr>
        <w:pStyle w:val="5"/>
        <w:widowControl/>
        <w:jc w:val="both"/>
        <w:rPr>
          <w:rFonts w:hint="eastAsia" w:asciiTheme="minorEastAsia" w:hAnsiTheme="minorEastAsia" w:eastAsiaTheme="minorEastAsia" w:cstheme="minorEastAsia"/>
          <w:b/>
          <w:sz w:val="36"/>
          <w:szCs w:val="36"/>
          <w:highlight w:val="none"/>
        </w:rPr>
      </w:pPr>
    </w:p>
    <w:p>
      <w:pPr>
        <w:pStyle w:val="5"/>
        <w:widowControl/>
        <w:jc w:val="both"/>
        <w:rPr>
          <w:rFonts w:hint="eastAsia" w:asciiTheme="minorEastAsia" w:hAnsiTheme="minorEastAsia" w:eastAsiaTheme="minorEastAsia" w:cstheme="minorEastAsia"/>
          <w:b/>
          <w:sz w:val="36"/>
          <w:szCs w:val="36"/>
          <w:highlight w:val="none"/>
        </w:rPr>
      </w:pPr>
    </w:p>
    <w:p>
      <w:pPr>
        <w:pStyle w:val="5"/>
        <w:widowControl/>
        <w:jc w:val="both"/>
        <w:rPr>
          <w:rFonts w:hint="eastAsia" w:asciiTheme="minorEastAsia" w:hAnsiTheme="minorEastAsia" w:eastAsiaTheme="minorEastAsia" w:cstheme="minorEastAsia"/>
          <w:b/>
          <w:sz w:val="36"/>
          <w:szCs w:val="36"/>
          <w:highlight w:val="none"/>
        </w:rPr>
      </w:pPr>
    </w:p>
    <w:p>
      <w:pPr>
        <w:pStyle w:val="5"/>
        <w:widowControl/>
        <w:jc w:val="both"/>
        <w:rPr>
          <w:rFonts w:hint="eastAsia" w:asciiTheme="minorEastAsia" w:hAnsiTheme="minorEastAsia" w:eastAsiaTheme="minorEastAsia" w:cstheme="minorEastAsia"/>
          <w:b/>
          <w:sz w:val="36"/>
          <w:szCs w:val="36"/>
          <w:highlight w:val="none"/>
        </w:rPr>
      </w:pPr>
    </w:p>
    <w:p>
      <w:pPr>
        <w:pStyle w:val="5"/>
        <w:widowControl/>
        <w:jc w:val="both"/>
        <w:rPr>
          <w:rFonts w:hint="eastAsia" w:asciiTheme="minorEastAsia" w:hAnsiTheme="minorEastAsia" w:eastAsiaTheme="minorEastAsia" w:cstheme="minorEastAsia"/>
          <w:b/>
          <w:sz w:val="36"/>
          <w:szCs w:val="36"/>
          <w:highlight w:val="none"/>
        </w:rPr>
      </w:pPr>
    </w:p>
    <w:p>
      <w:pPr>
        <w:pStyle w:val="5"/>
        <w:widowControl/>
        <w:jc w:val="both"/>
        <w:rPr>
          <w:rFonts w:hint="eastAsia" w:asciiTheme="minorEastAsia" w:hAnsiTheme="minorEastAsia" w:eastAsiaTheme="minorEastAsia" w:cstheme="minorEastAsia"/>
          <w:b/>
          <w:sz w:val="36"/>
          <w:szCs w:val="36"/>
          <w:highlight w:val="none"/>
        </w:rPr>
      </w:pPr>
    </w:p>
    <w:p>
      <w:pPr>
        <w:pStyle w:val="5"/>
        <w:widowControl/>
        <w:jc w:val="both"/>
        <w:rPr>
          <w:rFonts w:hint="eastAsia" w:asciiTheme="minorEastAsia" w:hAnsiTheme="minorEastAsia" w:eastAsiaTheme="minorEastAsia" w:cstheme="minorEastAsia"/>
          <w:b/>
          <w:sz w:val="36"/>
          <w:szCs w:val="36"/>
          <w:highlight w:val="none"/>
        </w:rPr>
      </w:pPr>
    </w:p>
    <w:p>
      <w:pPr>
        <w:pStyle w:val="5"/>
        <w:widowControl/>
        <w:jc w:val="both"/>
        <w:rPr>
          <w:rFonts w:hint="eastAsia" w:asciiTheme="minorEastAsia" w:hAnsiTheme="minorEastAsia" w:eastAsiaTheme="minorEastAsia" w:cstheme="minorEastAsia"/>
          <w:b/>
          <w:sz w:val="36"/>
          <w:szCs w:val="36"/>
          <w:highlight w:val="none"/>
        </w:rPr>
      </w:pPr>
    </w:p>
    <w:p>
      <w:pPr>
        <w:pStyle w:val="5"/>
        <w:widowControl/>
        <w:jc w:val="both"/>
        <w:rPr>
          <w:rFonts w:hint="eastAsia" w:asciiTheme="minorEastAsia" w:hAnsiTheme="minorEastAsia" w:eastAsiaTheme="minorEastAsia" w:cstheme="minorEastAsia"/>
          <w:b/>
          <w:sz w:val="36"/>
          <w:szCs w:val="36"/>
          <w:highlight w:val="none"/>
        </w:rPr>
      </w:pPr>
    </w:p>
    <w:p>
      <w:pPr>
        <w:pStyle w:val="5"/>
        <w:widowControl/>
        <w:jc w:val="both"/>
        <w:rPr>
          <w:rFonts w:hint="eastAsia" w:asciiTheme="minorEastAsia" w:hAnsiTheme="minorEastAsia" w:eastAsiaTheme="minorEastAsia" w:cstheme="minorEastAsia"/>
          <w:b/>
          <w:sz w:val="36"/>
          <w:szCs w:val="36"/>
          <w:highlight w:val="none"/>
        </w:rPr>
      </w:pPr>
    </w:p>
    <w:p>
      <w:pPr>
        <w:pStyle w:val="5"/>
        <w:widowControl/>
        <w:jc w:val="both"/>
        <w:rPr>
          <w:rFonts w:hint="eastAsia" w:asciiTheme="minorEastAsia" w:hAnsiTheme="minorEastAsia" w:eastAsiaTheme="minorEastAsia" w:cstheme="minorEastAsia"/>
          <w:b/>
          <w:sz w:val="36"/>
          <w:szCs w:val="36"/>
          <w:highlight w:val="none"/>
        </w:rPr>
      </w:pPr>
    </w:p>
    <w:p>
      <w:pPr>
        <w:pStyle w:val="5"/>
        <w:widowControl/>
        <w:jc w:val="both"/>
        <w:rPr>
          <w:rFonts w:hint="eastAsia" w:asciiTheme="minorEastAsia" w:hAnsiTheme="minorEastAsia" w:eastAsiaTheme="minorEastAsia" w:cstheme="minorEastAsia"/>
          <w:b/>
          <w:sz w:val="36"/>
          <w:szCs w:val="36"/>
          <w:highlight w:val="none"/>
        </w:rPr>
      </w:pPr>
    </w:p>
    <w:p>
      <w:pPr>
        <w:pStyle w:val="5"/>
        <w:widowControl/>
        <w:jc w:val="both"/>
        <w:rPr>
          <w:rFonts w:hint="eastAsia" w:asciiTheme="minorEastAsia" w:hAnsiTheme="minorEastAsia" w:eastAsiaTheme="minorEastAsia" w:cstheme="minorEastAsia"/>
          <w:b/>
          <w:sz w:val="36"/>
          <w:szCs w:val="36"/>
          <w:highlight w:val="none"/>
        </w:rPr>
      </w:pPr>
    </w:p>
    <w:p>
      <w:pPr>
        <w:pStyle w:val="5"/>
        <w:widowControl/>
        <w:jc w:val="both"/>
        <w:rPr>
          <w:rFonts w:hint="eastAsia" w:asciiTheme="minorEastAsia" w:hAnsiTheme="minorEastAsia" w:eastAsiaTheme="minorEastAsia" w:cstheme="minorEastAsia"/>
          <w:b/>
          <w:sz w:val="36"/>
          <w:szCs w:val="36"/>
          <w:highlight w:val="none"/>
        </w:rPr>
      </w:pPr>
    </w:p>
    <w:p>
      <w:pPr>
        <w:pStyle w:val="5"/>
        <w:widowControl/>
        <w:jc w:val="both"/>
        <w:rPr>
          <w:rFonts w:hint="eastAsia" w:asciiTheme="minorEastAsia" w:hAnsiTheme="minorEastAsia" w:eastAsiaTheme="minorEastAsia" w:cstheme="minorEastAsia"/>
          <w:b/>
          <w:sz w:val="36"/>
          <w:szCs w:val="36"/>
          <w:highlight w:val="none"/>
        </w:rPr>
      </w:pPr>
    </w:p>
    <w:p>
      <w:pPr>
        <w:pStyle w:val="5"/>
        <w:widowControl/>
        <w:jc w:val="both"/>
        <w:rPr>
          <w:rFonts w:hint="eastAsia" w:asciiTheme="minorEastAsia" w:hAnsiTheme="minorEastAsia" w:eastAsiaTheme="minorEastAsia" w:cstheme="minorEastAsia"/>
          <w:b/>
          <w:sz w:val="36"/>
          <w:szCs w:val="36"/>
          <w:highlight w:val="none"/>
        </w:rPr>
      </w:pPr>
    </w:p>
    <w:p>
      <w:pPr>
        <w:pStyle w:val="5"/>
        <w:widowControl/>
        <w:jc w:val="both"/>
        <w:rPr>
          <w:rFonts w:hint="eastAsia" w:asciiTheme="minorEastAsia" w:hAnsiTheme="minorEastAsia" w:eastAsiaTheme="minorEastAsia" w:cstheme="minorEastAsia"/>
          <w:b/>
          <w:sz w:val="36"/>
          <w:szCs w:val="36"/>
          <w:highlight w:val="none"/>
        </w:rPr>
      </w:pPr>
    </w:p>
    <w:p>
      <w:pPr>
        <w:pStyle w:val="5"/>
        <w:widowControl/>
        <w:jc w:val="center"/>
        <w:rPr>
          <w:rFonts w:hint="eastAsia" w:asciiTheme="minorEastAsia" w:hAnsiTheme="minorEastAsia" w:eastAsiaTheme="minorEastAsia" w:cstheme="minorEastAsia"/>
          <w:b/>
          <w:sz w:val="36"/>
          <w:szCs w:val="36"/>
          <w:highlight w:val="none"/>
        </w:rPr>
      </w:pPr>
      <w:r>
        <w:rPr>
          <w:rFonts w:hint="eastAsia" w:asciiTheme="minorEastAsia" w:hAnsiTheme="minorEastAsia" w:eastAsiaTheme="minorEastAsia" w:cstheme="minorEastAsia"/>
          <w:b/>
          <w:sz w:val="36"/>
          <w:szCs w:val="36"/>
          <w:highlight w:val="none"/>
        </w:rPr>
        <w:t>广州市黄埔区、广州开发区公园管理</w:t>
      </w:r>
    </w:p>
    <w:p>
      <w:pPr>
        <w:pStyle w:val="5"/>
        <w:widowControl/>
        <w:jc w:val="center"/>
        <w:rPr>
          <w:rFonts w:hint="eastAsia" w:asciiTheme="minorEastAsia" w:hAnsiTheme="minorEastAsia" w:eastAsiaTheme="minorEastAsia" w:cstheme="minorEastAsia"/>
          <w:b/>
          <w:sz w:val="36"/>
          <w:szCs w:val="36"/>
          <w:highlight w:val="none"/>
        </w:rPr>
      </w:pPr>
      <w:r>
        <w:rPr>
          <w:rFonts w:hint="eastAsia" w:asciiTheme="minorEastAsia" w:hAnsiTheme="minorEastAsia" w:eastAsiaTheme="minorEastAsia" w:cstheme="minorEastAsia"/>
          <w:b/>
          <w:sz w:val="36"/>
          <w:szCs w:val="36"/>
          <w:highlight w:val="none"/>
        </w:rPr>
        <w:t>月度检评考核表—服务管理</w:t>
      </w:r>
    </w:p>
    <w:p>
      <w:pPr>
        <w:rPr>
          <w:rFonts w:hint="eastAsia" w:asciiTheme="minorEastAsia" w:hAnsiTheme="minorEastAsia" w:eastAsiaTheme="minorEastAsia" w:cstheme="minorEastAsia"/>
          <w:szCs w:val="21"/>
          <w:highlight w:val="none"/>
        </w:rPr>
      </w:pPr>
    </w:p>
    <w:p>
      <w:pPr>
        <w:rPr>
          <w:rFonts w:hint="eastAsia" w:asciiTheme="minorEastAsia" w:hAnsiTheme="minorEastAsia" w:eastAsiaTheme="minorEastAsia" w:cstheme="minorEastAsia"/>
          <w:kern w:val="0"/>
          <w:sz w:val="24"/>
          <w:szCs w:val="20"/>
          <w:highlight w:val="none"/>
        </w:rPr>
      </w:pPr>
      <w:r>
        <w:rPr>
          <w:rFonts w:hint="eastAsia" w:asciiTheme="minorEastAsia" w:hAnsiTheme="minorEastAsia" w:eastAsiaTheme="minorEastAsia" w:cstheme="minorEastAsia"/>
          <w:szCs w:val="21"/>
          <w:highlight w:val="none"/>
        </w:rPr>
        <w:t>检评单位（盖章）：             被</w:t>
      </w:r>
      <w:r>
        <w:rPr>
          <w:rFonts w:hint="eastAsia" w:asciiTheme="minorEastAsia" w:hAnsiTheme="minorEastAsia" w:eastAsiaTheme="minorEastAsia" w:cstheme="minorEastAsia"/>
          <w:szCs w:val="21"/>
          <w:highlight w:val="none"/>
          <w:lang w:eastAsia="zh-CN"/>
        </w:rPr>
        <w:t>检评</w:t>
      </w:r>
      <w:r>
        <w:rPr>
          <w:rFonts w:hint="eastAsia" w:asciiTheme="minorEastAsia" w:hAnsiTheme="minorEastAsia" w:eastAsiaTheme="minorEastAsia" w:cstheme="minorEastAsia"/>
          <w:szCs w:val="21"/>
          <w:highlight w:val="none"/>
        </w:rPr>
        <w:t>公司名称：            检评时间：</w:t>
      </w:r>
      <w:r>
        <w:rPr>
          <w:rFonts w:hint="eastAsia" w:asciiTheme="minorEastAsia" w:hAnsiTheme="minorEastAsia" w:eastAsiaTheme="minorEastAsia" w:cstheme="minorEastAsia"/>
          <w:kern w:val="0"/>
          <w:sz w:val="24"/>
          <w:szCs w:val="20"/>
          <w:highlight w:val="none"/>
        </w:rPr>
        <w:t xml:space="preserve">  </w:t>
      </w:r>
    </w:p>
    <w:tbl>
      <w:tblPr>
        <w:tblStyle w:val="7"/>
        <w:tblW w:w="8431" w:type="dxa"/>
        <w:jc w:val="center"/>
        <w:tblLayout w:type="fixed"/>
        <w:tblCellMar>
          <w:top w:w="0" w:type="dxa"/>
          <w:left w:w="108" w:type="dxa"/>
          <w:bottom w:w="0" w:type="dxa"/>
          <w:right w:w="108" w:type="dxa"/>
        </w:tblCellMar>
      </w:tblPr>
      <w:tblGrid>
        <w:gridCol w:w="450"/>
        <w:gridCol w:w="1031"/>
        <w:gridCol w:w="1264"/>
        <w:gridCol w:w="4156"/>
        <w:gridCol w:w="628"/>
        <w:gridCol w:w="902"/>
      </w:tblGrid>
      <w:tr>
        <w:tblPrEx>
          <w:tblCellMar>
            <w:top w:w="0" w:type="dxa"/>
            <w:left w:w="108" w:type="dxa"/>
            <w:bottom w:w="0" w:type="dxa"/>
            <w:right w:w="108" w:type="dxa"/>
          </w:tblCellMar>
        </w:tblPrEx>
        <w:trPr>
          <w:cantSplit/>
          <w:trHeight w:val="585" w:hRule="atLeast"/>
          <w:jc w:val="center"/>
        </w:trPr>
        <w:tc>
          <w:tcPr>
            <w:tcW w:w="1481"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b/>
                <w:szCs w:val="21"/>
                <w:highlight w:val="none"/>
              </w:rPr>
              <w:t>分类项目</w:t>
            </w: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6" w:firstLineChars="150"/>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b/>
                <w:szCs w:val="21"/>
                <w:highlight w:val="none"/>
              </w:rPr>
              <w:t>分类小项</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b/>
                <w:szCs w:val="21"/>
                <w:highlight w:val="none"/>
              </w:rPr>
              <w:t>加分/扣分</w:t>
            </w: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b/>
                <w:szCs w:val="21"/>
                <w:highlight w:val="none"/>
              </w:rPr>
              <w:t>备注</w:t>
            </w:r>
          </w:p>
        </w:tc>
      </w:tr>
      <w:tr>
        <w:tblPrEx>
          <w:tblCellMar>
            <w:top w:w="0" w:type="dxa"/>
            <w:left w:w="108" w:type="dxa"/>
            <w:bottom w:w="0" w:type="dxa"/>
            <w:right w:w="108" w:type="dxa"/>
          </w:tblCellMar>
        </w:tblPrEx>
        <w:trPr>
          <w:cantSplit/>
          <w:trHeight w:val="585" w:hRule="atLeast"/>
          <w:jc w:val="center"/>
        </w:trPr>
        <w:tc>
          <w:tcPr>
            <w:tcW w:w="45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1</w:t>
            </w:r>
          </w:p>
        </w:tc>
        <w:tc>
          <w:tcPr>
            <w:tcW w:w="103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服务质量</w:t>
            </w: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szCs w:val="21"/>
                <w:highlight w:val="none"/>
              </w:rPr>
              <w:t>服务不到位，发生责任投诉，经查实，每一起扣2分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Theme="minorEastAsia" w:hAnsiTheme="minorEastAsia" w:eastAsiaTheme="minorEastAsia" w:cstheme="minorEastAsia"/>
                <w:szCs w:val="21"/>
                <w:highlight w:val="none"/>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585" w:hRule="atLeast"/>
          <w:jc w:val="center"/>
        </w:trPr>
        <w:tc>
          <w:tcPr>
            <w:tcW w:w="4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103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服务得到市民表扬，每表彰一次奖励1分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Theme="minorEastAsia" w:hAnsiTheme="minorEastAsia" w:eastAsiaTheme="minorEastAsia" w:cstheme="minorEastAsia"/>
                <w:szCs w:val="21"/>
                <w:highlight w:val="none"/>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585" w:hRule="atLeast"/>
          <w:jc w:val="center"/>
        </w:trPr>
        <w:tc>
          <w:tcPr>
            <w:tcW w:w="45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2</w:t>
            </w:r>
          </w:p>
        </w:tc>
        <w:tc>
          <w:tcPr>
            <w:tcW w:w="103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left"/>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szCs w:val="20"/>
                <w:highlight w:val="none"/>
              </w:rPr>
              <w:t>媒体或投诉</w:t>
            </w:r>
          </w:p>
          <w:p>
            <w:pPr>
              <w:jc w:val="left"/>
              <w:rPr>
                <w:rFonts w:hint="eastAsia" w:asciiTheme="minorEastAsia" w:hAnsiTheme="minorEastAsia" w:eastAsiaTheme="minorEastAsia" w:cstheme="minorEastAsia"/>
                <w:szCs w:val="21"/>
                <w:highlight w:val="none"/>
              </w:rPr>
            </w:pP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0"/>
                <w:highlight w:val="none"/>
              </w:rPr>
              <w:t>因园内绿化、设施、除四害、登革热防治等存在问题受到媒体播报或市民投诉，区级媒体播报扣1分，市级媒体播报扣2分，省级媒体播报扣4分，市民投诉扣1分。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Theme="minorEastAsia" w:hAnsiTheme="minorEastAsia" w:eastAsiaTheme="minorEastAsia" w:cstheme="minorEastAsia"/>
                <w:szCs w:val="21"/>
                <w:highlight w:val="none"/>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585" w:hRule="atLeast"/>
          <w:jc w:val="center"/>
        </w:trPr>
        <w:tc>
          <w:tcPr>
            <w:tcW w:w="45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103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rPr>
                <w:rFonts w:hint="eastAsia" w:asciiTheme="minorEastAsia" w:hAnsiTheme="minorEastAsia" w:eastAsiaTheme="minorEastAsia" w:cstheme="minorEastAsia"/>
                <w:sz w:val="20"/>
                <w:szCs w:val="20"/>
                <w:highlight w:val="none"/>
              </w:rPr>
            </w:pP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kern w:val="0"/>
                <w:szCs w:val="21"/>
                <w:highlight w:val="none"/>
              </w:rPr>
              <w:t>园区景色、活动、改造等到区级媒体宣传奖励1分，市级媒体宣传奖励2分，省级媒体宣传奖励4分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Theme="minorEastAsia" w:hAnsiTheme="minorEastAsia" w:eastAsiaTheme="minorEastAsia" w:cstheme="minorEastAsia"/>
                <w:szCs w:val="21"/>
                <w:highlight w:val="none"/>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585" w:hRule="atLeast"/>
          <w:jc w:val="center"/>
        </w:trPr>
        <w:tc>
          <w:tcPr>
            <w:tcW w:w="45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3</w:t>
            </w:r>
          </w:p>
        </w:tc>
        <w:tc>
          <w:tcPr>
            <w:tcW w:w="103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节庆布置</w:t>
            </w: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积极布置，注重创新，反映较好，视情况奖励2-10分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Theme="minorEastAsia" w:hAnsiTheme="minorEastAsia" w:eastAsiaTheme="minorEastAsia" w:cstheme="minorEastAsia"/>
                <w:szCs w:val="21"/>
                <w:highlight w:val="none"/>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585" w:hRule="atLeast"/>
          <w:jc w:val="center"/>
        </w:trPr>
        <w:tc>
          <w:tcPr>
            <w:tcW w:w="45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4</w:t>
            </w:r>
          </w:p>
        </w:tc>
        <w:tc>
          <w:tcPr>
            <w:tcW w:w="103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荣誉</w:t>
            </w:r>
          </w:p>
          <w:p>
            <w:pPr>
              <w:widowControl/>
              <w:jc w:val="left"/>
              <w:rPr>
                <w:rFonts w:hint="eastAsia" w:asciiTheme="minorEastAsia" w:hAnsiTheme="minorEastAsia" w:eastAsiaTheme="minorEastAsia" w:cstheme="minorEastAsia"/>
                <w:szCs w:val="21"/>
                <w:highlight w:val="none"/>
              </w:rPr>
            </w:pP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在安全、创建、比赛等方面，受到各级表彰，区级表彰奖励2分，市级表彰奖励5分，省级表彰奖励8分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Theme="minorEastAsia" w:hAnsiTheme="minorEastAsia" w:eastAsiaTheme="minorEastAsia" w:cstheme="minorEastAsia"/>
                <w:szCs w:val="21"/>
                <w:highlight w:val="none"/>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cantSplit/>
          <w:trHeight w:val="585" w:hRule="atLeast"/>
          <w:jc w:val="center"/>
        </w:trPr>
        <w:tc>
          <w:tcPr>
            <w:tcW w:w="450"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5</w:t>
            </w:r>
          </w:p>
        </w:tc>
        <w:tc>
          <w:tcPr>
            <w:tcW w:w="1031"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jc w:val="center"/>
              <w:rPr>
                <w:rFonts w:hint="eastAsia" w:asciiTheme="minorEastAsia" w:hAnsiTheme="minorEastAsia" w:eastAsiaTheme="minorEastAsia" w:cstheme="minorEastAsia"/>
                <w:szCs w:val="21"/>
                <w:highlight w:val="none"/>
              </w:rPr>
            </w:pPr>
            <w:r>
              <w:rPr>
                <w:rFonts w:hint="eastAsia" w:asciiTheme="minorEastAsia" w:hAnsiTheme="minorEastAsia" w:eastAsiaTheme="minorEastAsia" w:cstheme="minorEastAsia"/>
                <w:szCs w:val="21"/>
                <w:highlight w:val="none"/>
              </w:rPr>
              <w:t>其他</w:t>
            </w:r>
          </w:p>
          <w:p>
            <w:pPr>
              <w:jc w:val="left"/>
              <w:rPr>
                <w:rFonts w:hint="eastAsia" w:asciiTheme="minorEastAsia" w:hAnsiTheme="minorEastAsia" w:eastAsiaTheme="minorEastAsia" w:cstheme="minorEastAsia"/>
                <w:szCs w:val="21"/>
                <w:highlight w:val="none"/>
              </w:rPr>
            </w:pPr>
          </w:p>
        </w:tc>
        <w:tc>
          <w:tcPr>
            <w:tcW w:w="5420" w:type="dxa"/>
            <w:gridSpan w:val="2"/>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widowControl/>
              <w:jc w:val="left"/>
              <w:rPr>
                <w:rFonts w:hint="eastAsia" w:asciiTheme="minorEastAsia" w:hAnsiTheme="minorEastAsia" w:eastAsiaTheme="minorEastAsia" w:cstheme="minorEastAsia"/>
                <w:kern w:val="0"/>
                <w:szCs w:val="21"/>
                <w:highlight w:val="none"/>
              </w:rPr>
            </w:pPr>
            <w:r>
              <w:rPr>
                <w:rFonts w:hint="eastAsia" w:asciiTheme="minorEastAsia" w:hAnsiTheme="minorEastAsia" w:eastAsiaTheme="minorEastAsia" w:cstheme="minorEastAsia"/>
                <w:szCs w:val="21"/>
                <w:highlight w:val="none"/>
              </w:rPr>
              <w:t>未能按时提交月度（25日前）、季度、年度工作小结及计划、考勤表，每项每次扣0.5分处理</w:t>
            </w:r>
          </w:p>
        </w:tc>
        <w:tc>
          <w:tcPr>
            <w:tcW w:w="628"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bottom"/>
          </w:tcPr>
          <w:p>
            <w:pPr>
              <w:ind w:firstLine="315" w:firstLineChars="150"/>
              <w:jc w:val="left"/>
              <w:rPr>
                <w:rFonts w:hint="eastAsia" w:asciiTheme="minorEastAsia" w:hAnsiTheme="minorEastAsia" w:eastAsiaTheme="minorEastAsia" w:cstheme="minorEastAsia"/>
                <w:szCs w:val="21"/>
                <w:highlight w:val="none"/>
              </w:rPr>
            </w:pPr>
          </w:p>
        </w:tc>
        <w:tc>
          <w:tcPr>
            <w:tcW w:w="902" w:type="dxa"/>
            <w:tcBorders>
              <w:top w:val="single" w:color="auto" w:sz="4" w:space="0"/>
              <w:left w:val="single" w:color="auto" w:sz="4" w:space="0"/>
              <w:bottom w:val="single" w:color="auto" w:sz="4" w:space="0"/>
              <w:right w:val="single" w:color="auto" w:sz="4" w:space="0"/>
            </w:tcBorders>
            <w:noWrap w:val="0"/>
            <w:tcMar>
              <w:top w:w="15" w:type="dxa"/>
              <w:left w:w="15" w:type="dxa"/>
              <w:bottom w:w="15" w:type="dxa"/>
              <w:right w:w="15" w:type="dxa"/>
            </w:tcMar>
            <w:vAlign w:val="center"/>
          </w:tcPr>
          <w:p>
            <w:pPr>
              <w:ind w:firstLine="315" w:firstLineChars="150"/>
              <w:jc w:val="left"/>
              <w:rPr>
                <w:rFonts w:hint="eastAsia" w:asciiTheme="minorEastAsia" w:hAnsiTheme="minorEastAsia" w:eastAsiaTheme="minorEastAsia" w:cstheme="minorEastAsia"/>
                <w:szCs w:val="21"/>
                <w:highlight w:val="none"/>
              </w:rPr>
            </w:pPr>
          </w:p>
        </w:tc>
      </w:tr>
      <w:tr>
        <w:tblPrEx>
          <w:tblCellMar>
            <w:top w:w="0" w:type="dxa"/>
            <w:left w:w="108" w:type="dxa"/>
            <w:bottom w:w="0" w:type="dxa"/>
            <w:right w:w="108" w:type="dxa"/>
          </w:tblCellMar>
        </w:tblPrEx>
        <w:trPr>
          <w:trHeight w:val="510" w:hRule="atLeast"/>
          <w:jc w:val="center"/>
        </w:trPr>
        <w:tc>
          <w:tcPr>
            <w:tcW w:w="6901" w:type="dxa"/>
            <w:gridSpan w:val="4"/>
            <w:tcBorders>
              <w:top w:val="single" w:color="auto" w:sz="4" w:space="0"/>
              <w:left w:val="single" w:color="auto" w:sz="4" w:space="0"/>
              <w:bottom w:val="single" w:color="auto" w:sz="4" w:space="0"/>
              <w:right w:val="single" w:color="auto" w:sz="4" w:space="0"/>
            </w:tcBorders>
            <w:noWrap w:val="0"/>
            <w:vAlign w:val="top"/>
          </w:tcPr>
          <w:p>
            <w:pPr>
              <w:pStyle w:val="5"/>
              <w:widowControl/>
              <w:jc w:val="center"/>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lang w:eastAsia="zh-CN"/>
              </w:rPr>
              <w:t>累</w:t>
            </w:r>
            <w:r>
              <w:rPr>
                <w:rFonts w:hint="eastAsia" w:asciiTheme="minorEastAsia" w:hAnsiTheme="minorEastAsia" w:eastAsiaTheme="minorEastAsia" w:cstheme="minorEastAsia"/>
                <w:sz w:val="28"/>
                <w:szCs w:val="28"/>
                <w:highlight w:val="none"/>
                <w:lang w:val="en-US" w:eastAsia="zh-CN"/>
              </w:rPr>
              <w:t xml:space="preserve"> </w:t>
            </w:r>
            <w:r>
              <w:rPr>
                <w:rFonts w:hint="eastAsia" w:asciiTheme="minorEastAsia" w:hAnsiTheme="minorEastAsia" w:eastAsiaTheme="minorEastAsia" w:cstheme="minorEastAsia"/>
                <w:sz w:val="28"/>
                <w:szCs w:val="28"/>
                <w:highlight w:val="none"/>
                <w:lang w:eastAsia="zh-CN"/>
              </w:rPr>
              <w:t>计</w:t>
            </w:r>
            <w:r>
              <w:rPr>
                <w:rFonts w:hint="eastAsia" w:asciiTheme="minorEastAsia" w:hAnsiTheme="minorEastAsia" w:eastAsiaTheme="minorEastAsia" w:cstheme="minorEastAsia"/>
                <w:sz w:val="28"/>
                <w:szCs w:val="28"/>
                <w:highlight w:val="none"/>
                <w:lang w:val="en-US" w:eastAsia="zh-CN"/>
              </w:rPr>
              <w:t xml:space="preserve"> 分 值</w:t>
            </w:r>
          </w:p>
        </w:tc>
        <w:tc>
          <w:tcPr>
            <w:tcW w:w="1530" w:type="dxa"/>
            <w:gridSpan w:val="2"/>
            <w:tcBorders>
              <w:top w:val="single" w:color="auto" w:sz="4" w:space="0"/>
              <w:left w:val="single" w:color="auto" w:sz="4" w:space="0"/>
              <w:bottom w:val="single" w:color="auto" w:sz="4" w:space="0"/>
              <w:right w:val="single" w:color="auto" w:sz="4" w:space="0"/>
            </w:tcBorders>
            <w:noWrap w:val="0"/>
            <w:vAlign w:val="top"/>
          </w:tcPr>
          <w:p>
            <w:pPr>
              <w:pStyle w:val="5"/>
              <w:widowControl/>
              <w:jc w:val="center"/>
              <w:rPr>
                <w:rFonts w:hint="eastAsia" w:asciiTheme="minorEastAsia" w:hAnsiTheme="minorEastAsia" w:eastAsiaTheme="minorEastAsia" w:cstheme="minorEastAsia"/>
                <w:sz w:val="28"/>
                <w:szCs w:val="28"/>
                <w:highlight w:val="none"/>
              </w:rPr>
            </w:pPr>
          </w:p>
        </w:tc>
      </w:tr>
      <w:tr>
        <w:tblPrEx>
          <w:tblCellMar>
            <w:top w:w="0" w:type="dxa"/>
            <w:left w:w="108" w:type="dxa"/>
            <w:bottom w:w="0" w:type="dxa"/>
            <w:right w:w="108" w:type="dxa"/>
          </w:tblCellMar>
        </w:tblPrEx>
        <w:trPr>
          <w:trHeight w:val="390" w:hRule="atLeast"/>
          <w:jc w:val="center"/>
        </w:trPr>
        <w:tc>
          <w:tcPr>
            <w:tcW w:w="2745" w:type="dxa"/>
            <w:gridSpan w:val="3"/>
            <w:tcBorders>
              <w:top w:val="single" w:color="auto" w:sz="4" w:space="0"/>
              <w:left w:val="single" w:color="auto" w:sz="4" w:space="0"/>
              <w:bottom w:val="single" w:color="auto" w:sz="4" w:space="0"/>
              <w:right w:val="single" w:color="auto" w:sz="4" w:space="0"/>
            </w:tcBorders>
            <w:noWrap w:val="0"/>
            <w:vAlign w:val="center"/>
          </w:tcPr>
          <w:p>
            <w:pPr>
              <w:pStyle w:val="5"/>
              <w:widowControl/>
              <w:jc w:val="center"/>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rPr>
              <w:t>其他需说明情况</w:t>
            </w:r>
          </w:p>
        </w:tc>
        <w:tc>
          <w:tcPr>
            <w:tcW w:w="5686" w:type="dxa"/>
            <w:gridSpan w:val="3"/>
            <w:tcBorders>
              <w:top w:val="single" w:color="auto" w:sz="4" w:space="0"/>
              <w:left w:val="single" w:color="auto" w:sz="4" w:space="0"/>
              <w:bottom w:val="single" w:color="auto" w:sz="4" w:space="0"/>
              <w:right w:val="single" w:color="auto" w:sz="4" w:space="0"/>
            </w:tcBorders>
            <w:noWrap w:val="0"/>
            <w:vAlign w:val="top"/>
          </w:tcPr>
          <w:p>
            <w:pPr>
              <w:pStyle w:val="5"/>
              <w:widowControl/>
              <w:rPr>
                <w:rFonts w:hint="eastAsia" w:asciiTheme="minorEastAsia" w:hAnsiTheme="minorEastAsia" w:eastAsiaTheme="minorEastAsia" w:cstheme="minorEastAsia"/>
                <w:sz w:val="28"/>
                <w:szCs w:val="28"/>
                <w:highlight w:val="none"/>
              </w:rPr>
            </w:pPr>
          </w:p>
        </w:tc>
      </w:tr>
    </w:tbl>
    <w:p>
      <w:pPr>
        <w:pStyle w:val="5"/>
        <w:widowControl/>
        <w:rPr>
          <w:rFonts w:hint="eastAsia" w:asciiTheme="minorEastAsia" w:hAnsiTheme="minorEastAsia" w:eastAsiaTheme="minorEastAsia" w:cstheme="minorEastAsia"/>
          <w:highlight w:val="none"/>
        </w:rPr>
      </w:pPr>
    </w:p>
    <w:p>
      <w:pPr>
        <w:pStyle w:val="5"/>
        <w:widowControl/>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 xml:space="preserve">受检单位参评人员（签名）： </w:t>
      </w:r>
      <w:r>
        <w:rPr>
          <w:rFonts w:hint="eastAsia" w:asciiTheme="minorEastAsia" w:hAnsiTheme="minorEastAsia" w:eastAsiaTheme="minorEastAsia" w:cstheme="minorEastAsia"/>
          <w:highlight w:val="none"/>
        </w:rPr>
        <w:tab/>
      </w:r>
      <w:r>
        <w:rPr>
          <w:rFonts w:hint="eastAsia" w:asciiTheme="minorEastAsia" w:hAnsiTheme="minorEastAsia" w:eastAsiaTheme="minorEastAsia" w:cstheme="minorEastAsia"/>
          <w:highlight w:val="none"/>
        </w:rPr>
        <w:t xml:space="preserve">                   检评单位检评人员</w:t>
      </w:r>
      <w:r>
        <w:rPr>
          <w:rFonts w:hint="eastAsia" w:asciiTheme="minorEastAsia" w:hAnsiTheme="minorEastAsia" w:eastAsiaTheme="minorEastAsia" w:cstheme="minorEastAsia"/>
          <w:kern w:val="2"/>
          <w:sz w:val="21"/>
          <w:szCs w:val="21"/>
          <w:highlight w:val="none"/>
          <w:lang w:eastAsia="zh-CN"/>
        </w:rPr>
        <w:t>（签名）</w:t>
      </w:r>
      <w:r>
        <w:rPr>
          <w:rFonts w:hint="eastAsia" w:asciiTheme="minorEastAsia" w:hAnsiTheme="minorEastAsia" w:eastAsiaTheme="minorEastAsia" w:cstheme="minorEastAsia"/>
          <w:highlight w:val="none"/>
        </w:rPr>
        <w:t>：</w:t>
      </w:r>
    </w:p>
    <w:p>
      <w:pPr>
        <w:pStyle w:val="5"/>
        <w:widowControl/>
        <w:spacing w:line="360" w:lineRule="auto"/>
        <w:rPr>
          <w:rFonts w:hint="eastAsia" w:asciiTheme="minorEastAsia" w:hAnsiTheme="minorEastAsia" w:eastAsiaTheme="minorEastAsia" w:cstheme="minorEastAsia"/>
          <w:highlight w:val="none"/>
        </w:rPr>
      </w:pPr>
    </w:p>
    <w:p>
      <w:pPr>
        <w:pStyle w:val="5"/>
        <w:widowControl/>
        <w:spacing w:line="360" w:lineRule="auto"/>
        <w:rPr>
          <w:rFonts w:hint="eastAsia" w:asciiTheme="minorEastAsia" w:hAnsiTheme="minorEastAsia" w:eastAsiaTheme="minorEastAsia" w:cstheme="minorEastAsia"/>
          <w:highlight w:val="none"/>
        </w:rPr>
        <w:sectPr>
          <w:pgSz w:w="11906" w:h="16838"/>
          <w:pgMar w:top="1304" w:right="1026" w:bottom="1304" w:left="1417" w:header="851" w:footer="992" w:gutter="0"/>
          <w:cols w:space="720" w:num="1"/>
          <w:docGrid w:type="lines" w:linePitch="319" w:charSpace="0"/>
        </w:sectPr>
      </w:pPr>
      <w:r>
        <w:rPr>
          <w:rFonts w:hint="eastAsia" w:asciiTheme="minorEastAsia" w:hAnsiTheme="minorEastAsia" w:eastAsiaTheme="minorEastAsia" w:cstheme="minorEastAsia"/>
          <w:highlight w:val="none"/>
        </w:rPr>
        <w:t>受检单位负责人（签名）：                        检评单位负责人（签名）：</w:t>
      </w:r>
    </w:p>
    <w:p>
      <w:pPr>
        <w:rPr>
          <w:rFonts w:hint="eastAsia" w:asciiTheme="minorEastAsia" w:hAnsiTheme="minorEastAsia" w:eastAsiaTheme="minorEastAsia" w:cstheme="minorEastAsia"/>
          <w:b/>
          <w:bCs/>
          <w:sz w:val="28"/>
          <w:szCs w:val="28"/>
          <w:highlight w:val="none"/>
          <w:lang w:val="en-US" w:eastAsia="zh-CN"/>
        </w:rPr>
      </w:pPr>
      <w:r>
        <w:rPr>
          <w:rFonts w:hint="eastAsia" w:asciiTheme="minorEastAsia" w:hAnsiTheme="minorEastAsia" w:eastAsiaTheme="minorEastAsia" w:cstheme="minorEastAsia"/>
          <w:b/>
          <w:bCs/>
          <w:sz w:val="28"/>
          <w:szCs w:val="28"/>
          <w:highlight w:val="none"/>
          <w:lang w:eastAsia="zh-CN"/>
        </w:rPr>
        <w:t>附件</w:t>
      </w:r>
      <w:r>
        <w:rPr>
          <w:rFonts w:hint="eastAsia" w:asciiTheme="minorEastAsia" w:hAnsiTheme="minorEastAsia" w:eastAsiaTheme="minorEastAsia" w:cstheme="minorEastAsia"/>
          <w:b/>
          <w:bCs/>
          <w:sz w:val="28"/>
          <w:szCs w:val="28"/>
          <w:highlight w:val="none"/>
          <w:lang w:val="en-US" w:eastAsia="zh-CN"/>
        </w:rPr>
        <w:t>4</w:t>
      </w:r>
    </w:p>
    <w:tbl>
      <w:tblPr>
        <w:tblStyle w:val="7"/>
        <w:tblW w:w="15675" w:type="dxa"/>
        <w:tblInd w:w="-1484" w:type="dxa"/>
        <w:shd w:val="clear" w:color="auto" w:fill="auto"/>
        <w:tblLayout w:type="fixed"/>
        <w:tblCellMar>
          <w:top w:w="0" w:type="dxa"/>
          <w:left w:w="0" w:type="dxa"/>
          <w:bottom w:w="0" w:type="dxa"/>
          <w:right w:w="0" w:type="dxa"/>
        </w:tblCellMar>
      </w:tblPr>
      <w:tblGrid>
        <w:gridCol w:w="625"/>
        <w:gridCol w:w="1203"/>
        <w:gridCol w:w="654"/>
        <w:gridCol w:w="778"/>
        <w:gridCol w:w="954"/>
        <w:gridCol w:w="805"/>
        <w:gridCol w:w="1322"/>
        <w:gridCol w:w="3784"/>
        <w:gridCol w:w="5550"/>
      </w:tblGrid>
      <w:tr>
        <w:tblPrEx>
          <w:shd w:val="clear" w:color="auto" w:fill="auto"/>
          <w:tblCellMar>
            <w:top w:w="0" w:type="dxa"/>
            <w:left w:w="0" w:type="dxa"/>
            <w:bottom w:w="0" w:type="dxa"/>
            <w:right w:w="0" w:type="dxa"/>
          </w:tblCellMar>
        </w:tblPrEx>
        <w:trPr>
          <w:trHeight w:val="900" w:hRule="atLeast"/>
        </w:trPr>
        <w:tc>
          <w:tcPr>
            <w:tcW w:w="15675"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ind w:firstLine="2409" w:firstLineChars="800"/>
              <w:jc w:val="both"/>
              <w:textAlignment w:val="center"/>
              <w:rPr>
                <w:rFonts w:hint="eastAsia" w:asciiTheme="minorEastAsia" w:hAnsiTheme="minorEastAsia" w:eastAsiaTheme="minorEastAsia" w:cstheme="minorEastAsia"/>
                <w:b/>
                <w:i w:val="0"/>
                <w:color w:val="000000"/>
                <w:sz w:val="48"/>
                <w:szCs w:val="48"/>
                <w:highlight w:val="none"/>
                <w:u w:val="none"/>
              </w:rPr>
            </w:pPr>
            <w:r>
              <w:rPr>
                <w:rFonts w:hint="eastAsia" w:asciiTheme="minorEastAsia" w:hAnsiTheme="minorEastAsia" w:eastAsiaTheme="minorEastAsia" w:cstheme="minorEastAsia"/>
                <w:b/>
                <w:i w:val="0"/>
                <w:color w:val="000000"/>
                <w:kern w:val="0"/>
                <w:sz w:val="30"/>
                <w:szCs w:val="30"/>
                <w:highlight w:val="none"/>
                <w:u w:val="none"/>
                <w:lang w:val="en-US" w:eastAsia="zh-CN" w:bidi="ar"/>
              </w:rPr>
              <w:t>黄埔公园片区综合维护管理服务项目服务清单</w:t>
            </w:r>
          </w:p>
        </w:tc>
      </w:tr>
      <w:tr>
        <w:tblPrEx>
          <w:shd w:val="clear" w:color="auto" w:fill="auto"/>
          <w:tblCellMar>
            <w:top w:w="0" w:type="dxa"/>
            <w:left w:w="0" w:type="dxa"/>
            <w:bottom w:w="0" w:type="dxa"/>
            <w:right w:w="0" w:type="dxa"/>
          </w:tblCellMar>
        </w:tblPrEx>
        <w:trPr>
          <w:gridAfter w:val="1"/>
          <w:wBefore w:w="0" w:type="auto"/>
          <w:wAfter w:w="5550" w:type="dxa"/>
          <w:trHeight w:val="375" w:hRule="atLeast"/>
        </w:trPr>
        <w:tc>
          <w:tcPr>
            <w:tcW w:w="625"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28"/>
                <w:szCs w:val="28"/>
                <w:highlight w:val="none"/>
                <w:u w:val="none"/>
              </w:rPr>
            </w:pPr>
          </w:p>
        </w:tc>
        <w:tc>
          <w:tcPr>
            <w:tcW w:w="1203"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28"/>
                <w:szCs w:val="28"/>
                <w:highlight w:val="none"/>
                <w:u w:val="none"/>
              </w:rPr>
            </w:pPr>
          </w:p>
        </w:tc>
        <w:tc>
          <w:tcPr>
            <w:tcW w:w="654" w:type="dxa"/>
            <w:tcBorders>
              <w:top w:val="nil"/>
              <w:left w:val="nil"/>
              <w:bottom w:val="nil"/>
              <w:right w:val="nil"/>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b/>
                <w:i w:val="0"/>
                <w:color w:val="000000"/>
                <w:sz w:val="28"/>
                <w:szCs w:val="28"/>
                <w:highlight w:val="none"/>
                <w:u w:val="none"/>
              </w:rPr>
            </w:pPr>
          </w:p>
        </w:tc>
        <w:tc>
          <w:tcPr>
            <w:tcW w:w="778"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28"/>
                <w:szCs w:val="28"/>
                <w:highlight w:val="none"/>
                <w:u w:val="none"/>
              </w:rPr>
            </w:pPr>
          </w:p>
        </w:tc>
        <w:tc>
          <w:tcPr>
            <w:tcW w:w="95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8"/>
                <w:szCs w:val="28"/>
                <w:highlight w:val="none"/>
                <w:u w:val="none"/>
              </w:rPr>
            </w:pPr>
          </w:p>
        </w:tc>
        <w:tc>
          <w:tcPr>
            <w:tcW w:w="805"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28"/>
                <w:szCs w:val="28"/>
                <w:highlight w:val="none"/>
                <w:u w:val="none"/>
              </w:rPr>
            </w:pPr>
          </w:p>
        </w:tc>
        <w:tc>
          <w:tcPr>
            <w:tcW w:w="1322"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28"/>
                <w:szCs w:val="28"/>
                <w:highlight w:val="none"/>
                <w:u w:val="none"/>
              </w:rPr>
            </w:pPr>
          </w:p>
        </w:tc>
        <w:tc>
          <w:tcPr>
            <w:tcW w:w="3784" w:type="dxa"/>
            <w:tcBorders>
              <w:top w:val="nil"/>
              <w:left w:val="nil"/>
              <w:bottom w:val="single" w:color="000000" w:sz="4" w:space="0"/>
              <w:right w:val="nil"/>
            </w:tcBorders>
            <w:shd w:val="clear" w:color="auto" w:fill="auto"/>
            <w:tcMar>
              <w:top w:w="15" w:type="dxa"/>
              <w:left w:w="15" w:type="dxa"/>
              <w:right w:w="15" w:type="dxa"/>
            </w:tcMar>
            <w:vAlign w:val="center"/>
          </w:tcPr>
          <w:p>
            <w:pPr>
              <w:jc w:val="right"/>
              <w:rPr>
                <w:rFonts w:hint="eastAsia" w:asciiTheme="minorEastAsia" w:hAnsiTheme="minorEastAsia" w:eastAsiaTheme="minorEastAsia" w:cstheme="minorEastAsia"/>
                <w:b/>
                <w:i w:val="0"/>
                <w:color w:val="000000"/>
                <w:sz w:val="24"/>
                <w:szCs w:val="24"/>
                <w:highlight w:val="none"/>
                <w:u w:val="none"/>
              </w:rPr>
            </w:pPr>
          </w:p>
        </w:tc>
      </w:tr>
      <w:tr>
        <w:tblPrEx>
          <w:shd w:val="clear" w:color="auto" w:fill="auto"/>
          <w:tblCellMar>
            <w:top w:w="0" w:type="dxa"/>
            <w:left w:w="0" w:type="dxa"/>
            <w:bottom w:w="0" w:type="dxa"/>
            <w:right w:w="0" w:type="dxa"/>
          </w:tblCellMar>
        </w:tblPrEx>
        <w:trPr>
          <w:gridAfter w:val="1"/>
          <w:wBefore w:w="0" w:type="auto"/>
          <w:wAfter w:w="5550" w:type="dxa"/>
          <w:trHeight w:val="780"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highlight w:val="none"/>
                <w:u w:val="none"/>
              </w:rPr>
            </w:pPr>
            <w:r>
              <w:rPr>
                <w:rFonts w:hint="eastAsia" w:asciiTheme="minorEastAsia" w:hAnsiTheme="minorEastAsia" w:eastAsiaTheme="minorEastAsia" w:cstheme="minorEastAsia"/>
                <w:b/>
                <w:i w:val="0"/>
                <w:color w:val="000000"/>
                <w:kern w:val="0"/>
                <w:sz w:val="20"/>
                <w:szCs w:val="20"/>
                <w:highlight w:val="none"/>
                <w:u w:val="none"/>
                <w:lang w:val="en-US" w:eastAsia="zh-CN" w:bidi="ar"/>
              </w:rPr>
              <w:t>公园名称</w:t>
            </w: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highlight w:val="none"/>
                <w:u w:val="none"/>
              </w:rPr>
            </w:pPr>
            <w:r>
              <w:rPr>
                <w:rFonts w:hint="eastAsia" w:asciiTheme="minorEastAsia" w:hAnsiTheme="minorEastAsia" w:eastAsiaTheme="minorEastAsia" w:cstheme="minorEastAsia"/>
                <w:b/>
                <w:i w:val="0"/>
                <w:color w:val="000000"/>
                <w:kern w:val="0"/>
                <w:sz w:val="20"/>
                <w:szCs w:val="20"/>
                <w:highlight w:val="none"/>
                <w:u w:val="none"/>
                <w:lang w:val="en-US" w:eastAsia="zh-CN" w:bidi="ar"/>
              </w:rPr>
              <w:t>项目</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highlight w:val="none"/>
                <w:u w:val="none"/>
              </w:rPr>
            </w:pPr>
            <w:r>
              <w:rPr>
                <w:rFonts w:hint="eastAsia" w:asciiTheme="minorEastAsia" w:hAnsiTheme="minorEastAsia" w:eastAsiaTheme="minorEastAsia" w:cstheme="minorEastAsia"/>
                <w:b/>
                <w:i w:val="0"/>
                <w:color w:val="000000"/>
                <w:kern w:val="0"/>
                <w:sz w:val="20"/>
                <w:szCs w:val="20"/>
                <w:highlight w:val="none"/>
                <w:u w:val="none"/>
                <w:lang w:val="en-US" w:eastAsia="zh-CN" w:bidi="ar"/>
              </w:rPr>
              <w:t>单位</w:t>
            </w:r>
          </w:p>
        </w:tc>
        <w:tc>
          <w:tcPr>
            <w:tcW w:w="95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highlight w:val="none"/>
                <w:u w:val="none"/>
              </w:rPr>
            </w:pPr>
            <w:r>
              <w:rPr>
                <w:rFonts w:hint="eastAsia" w:asciiTheme="minorEastAsia" w:hAnsiTheme="minorEastAsia" w:eastAsiaTheme="minorEastAsia" w:cstheme="minorEastAsia"/>
                <w:b/>
                <w:i w:val="0"/>
                <w:color w:val="000000"/>
                <w:kern w:val="0"/>
                <w:sz w:val="20"/>
                <w:szCs w:val="20"/>
                <w:highlight w:val="none"/>
                <w:u w:val="none"/>
                <w:lang w:val="en-US" w:eastAsia="zh-CN" w:bidi="ar"/>
              </w:rPr>
              <w:t>数量</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highlight w:val="none"/>
                <w:u w:val="none"/>
              </w:rPr>
            </w:pPr>
            <w:r>
              <w:rPr>
                <w:rFonts w:hint="eastAsia" w:asciiTheme="minorEastAsia" w:hAnsiTheme="minorEastAsia" w:eastAsiaTheme="minorEastAsia" w:cstheme="minorEastAsia"/>
                <w:b/>
                <w:i w:val="0"/>
                <w:color w:val="000000"/>
                <w:kern w:val="0"/>
                <w:sz w:val="20"/>
                <w:szCs w:val="20"/>
                <w:highlight w:val="none"/>
                <w:u w:val="none"/>
                <w:lang w:val="en-US" w:eastAsia="zh-CN" w:bidi="ar"/>
              </w:rPr>
              <w:t>单价 （元）</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highlight w:val="none"/>
                <w:u w:val="none"/>
              </w:rPr>
            </w:pPr>
            <w:r>
              <w:rPr>
                <w:rFonts w:hint="eastAsia" w:asciiTheme="minorEastAsia" w:hAnsiTheme="minorEastAsia" w:eastAsiaTheme="minorEastAsia" w:cstheme="minorEastAsia"/>
                <w:b/>
                <w:i w:val="0"/>
                <w:color w:val="000000"/>
                <w:kern w:val="0"/>
                <w:sz w:val="20"/>
                <w:szCs w:val="20"/>
                <w:highlight w:val="none"/>
                <w:u w:val="none"/>
                <w:lang w:val="en-US" w:eastAsia="zh-CN" w:bidi="ar"/>
              </w:rPr>
              <w:t>年度费用（元）</w:t>
            </w:r>
          </w:p>
        </w:tc>
        <w:tc>
          <w:tcPr>
            <w:tcW w:w="3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highlight w:val="none"/>
                <w:u w:val="none"/>
              </w:rPr>
            </w:pPr>
            <w:r>
              <w:rPr>
                <w:rFonts w:hint="eastAsia" w:asciiTheme="minorEastAsia" w:hAnsiTheme="minorEastAsia" w:eastAsiaTheme="minorEastAsia" w:cstheme="minorEastAsia"/>
                <w:b/>
                <w:i w:val="0"/>
                <w:color w:val="000000"/>
                <w:kern w:val="0"/>
                <w:sz w:val="20"/>
                <w:szCs w:val="20"/>
                <w:highlight w:val="none"/>
                <w:u w:val="none"/>
                <w:lang w:val="en-US" w:eastAsia="zh-CN" w:bidi="ar"/>
              </w:rPr>
              <w:t>具体内容</w:t>
            </w:r>
          </w:p>
        </w:tc>
      </w:tr>
      <w:tr>
        <w:tblPrEx>
          <w:shd w:val="clear" w:color="auto" w:fill="auto"/>
          <w:tblCellMar>
            <w:top w:w="0" w:type="dxa"/>
            <w:left w:w="0" w:type="dxa"/>
            <w:bottom w:w="0" w:type="dxa"/>
            <w:right w:w="0" w:type="dxa"/>
          </w:tblCellMar>
        </w:tblPrEx>
        <w:trPr>
          <w:gridAfter w:val="1"/>
          <w:wBefore w:w="0" w:type="auto"/>
          <w:wAfter w:w="5550" w:type="dxa"/>
          <w:trHeight w:val="743"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黄埔公园</w:t>
            </w: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日常绿化养护</w:t>
            </w: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项</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71959</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 xml:space="preserve">15.98 </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 xml:space="preserve">1149904.82 </w:t>
            </w:r>
          </w:p>
        </w:tc>
        <w:tc>
          <w:tcPr>
            <w:tcW w:w="3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参照《广州市城市绿地常规养护工程年度费用估算指标》(2018)，绿地养护（一级养护标准）15.98元/㎡/年。公园绿地面积约71959㎡。</w:t>
            </w:r>
          </w:p>
        </w:tc>
      </w:tr>
      <w:tr>
        <w:tblPrEx>
          <w:shd w:val="clear" w:color="auto" w:fill="auto"/>
          <w:tblCellMar>
            <w:top w:w="0" w:type="dxa"/>
            <w:left w:w="0" w:type="dxa"/>
            <w:bottom w:w="0" w:type="dxa"/>
            <w:right w:w="0" w:type="dxa"/>
          </w:tblCellMar>
        </w:tblPrEx>
        <w:trPr>
          <w:gridAfter w:val="1"/>
          <w:wBefore w:w="0" w:type="auto"/>
          <w:wAfter w:w="5550" w:type="dxa"/>
          <w:trHeight w:val="743"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Theme="minorEastAsia" w:hAnsiTheme="minorEastAsia" w:eastAsiaTheme="minorEastAsia" w:cstheme="minorEastAsia"/>
                <w:i w:val="0"/>
                <w:color w:val="000000"/>
                <w:sz w:val="20"/>
                <w:szCs w:val="20"/>
                <w:highlight w:val="none"/>
                <w:u w:val="none"/>
              </w:rPr>
            </w:pP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白蚁防治</w:t>
            </w: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项</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11993.17</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 xml:space="preserve">1.32 </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 xml:space="preserve">15830.98 </w:t>
            </w:r>
          </w:p>
        </w:tc>
        <w:tc>
          <w:tcPr>
            <w:tcW w:w="3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公园日常防治面积约11993.17㎡，参照区财局2011年审核单价1.32元/㎡/年。</w:t>
            </w:r>
          </w:p>
        </w:tc>
      </w:tr>
      <w:tr>
        <w:tblPrEx>
          <w:shd w:val="clear" w:color="auto" w:fill="auto"/>
          <w:tblCellMar>
            <w:top w:w="0" w:type="dxa"/>
            <w:left w:w="0" w:type="dxa"/>
            <w:bottom w:w="0" w:type="dxa"/>
            <w:right w:w="0" w:type="dxa"/>
          </w:tblCellMar>
        </w:tblPrEx>
        <w:trPr>
          <w:gridAfter w:val="1"/>
          <w:wBefore w:w="0" w:type="auto"/>
          <w:wAfter w:w="5550" w:type="dxa"/>
          <w:trHeight w:val="8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Theme="minorEastAsia" w:hAnsiTheme="minorEastAsia" w:eastAsiaTheme="minorEastAsia" w:cstheme="minorEastAsia"/>
                <w:i w:val="0"/>
                <w:color w:val="000000"/>
                <w:sz w:val="20"/>
                <w:szCs w:val="20"/>
                <w:highlight w:val="none"/>
                <w:u w:val="none"/>
              </w:rPr>
            </w:pP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建筑和硬地清洁</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21802.6</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13.87</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 xml:space="preserve">302402.06 </w:t>
            </w:r>
          </w:p>
        </w:tc>
        <w:tc>
          <w:tcPr>
            <w:tcW w:w="3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公园建筑和硬地清洁面积约21802.6㎡，清洁时间：07:00-11:00、13:30-17:30.共计8小时。清洁标准参照《广州市环卫作业年度预算指标》(2016)道路人工清扫保洁，二级道路标准13.87元/㎡/年（含清洁工具）。</w:t>
            </w:r>
          </w:p>
        </w:tc>
      </w:tr>
      <w:tr>
        <w:tblPrEx>
          <w:shd w:val="clear" w:color="auto" w:fill="auto"/>
          <w:tblCellMar>
            <w:top w:w="0" w:type="dxa"/>
            <w:left w:w="0" w:type="dxa"/>
            <w:bottom w:w="0" w:type="dxa"/>
            <w:right w:w="0" w:type="dxa"/>
          </w:tblCellMar>
        </w:tblPrEx>
        <w:trPr>
          <w:gridAfter w:val="1"/>
          <w:wBefore w:w="0" w:type="auto"/>
          <w:wAfter w:w="5550" w:type="dxa"/>
          <w:trHeight w:val="743"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Theme="minorEastAsia" w:hAnsiTheme="minorEastAsia" w:eastAsiaTheme="minorEastAsia" w:cstheme="minorEastAsia"/>
                <w:i w:val="0"/>
                <w:color w:val="000000"/>
                <w:sz w:val="20"/>
                <w:szCs w:val="20"/>
                <w:highlight w:val="none"/>
                <w:u w:val="none"/>
              </w:rPr>
            </w:pP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水体清洁</w:t>
            </w:r>
          </w:p>
        </w:tc>
        <w:tc>
          <w:tcPr>
            <w:tcW w:w="778"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m</w:t>
            </w:r>
          </w:p>
        </w:tc>
        <w:tc>
          <w:tcPr>
            <w:tcW w:w="95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900</w:t>
            </w:r>
          </w:p>
        </w:tc>
        <w:tc>
          <w:tcPr>
            <w:tcW w:w="8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3.39</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 xml:space="preserve">3051.00 </w:t>
            </w:r>
          </w:p>
        </w:tc>
        <w:tc>
          <w:tcPr>
            <w:tcW w:w="37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全园水体日常养护岸边线900m。公园水体养护参照《广州市城市绿地常规养护工程年度费用估算指标（2018）》三级养护标准（3.39元/m/年）。</w:t>
            </w:r>
          </w:p>
        </w:tc>
      </w:tr>
      <w:tr>
        <w:tblPrEx>
          <w:tblCellMar>
            <w:top w:w="0" w:type="dxa"/>
            <w:left w:w="0" w:type="dxa"/>
            <w:bottom w:w="0" w:type="dxa"/>
            <w:right w:w="0" w:type="dxa"/>
          </w:tblCellMar>
        </w:tblPrEx>
        <w:trPr>
          <w:gridAfter w:val="1"/>
          <w:wBefore w:w="0" w:type="auto"/>
          <w:wAfter w:w="5550" w:type="dxa"/>
          <w:trHeight w:val="1035"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Theme="minorEastAsia" w:hAnsiTheme="minorEastAsia" w:eastAsiaTheme="minorEastAsia" w:cstheme="minorEastAsia"/>
                <w:i w:val="0"/>
                <w:color w:val="000000"/>
                <w:sz w:val="20"/>
                <w:szCs w:val="20"/>
                <w:highlight w:val="none"/>
                <w:u w:val="none"/>
              </w:rPr>
            </w:pPr>
          </w:p>
        </w:tc>
        <w:tc>
          <w:tcPr>
            <w:tcW w:w="12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公厕清洁</w:t>
            </w:r>
          </w:p>
        </w:tc>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厕位</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个</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34</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9748.7</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 xml:space="preserve">331455.80 </w:t>
            </w:r>
          </w:p>
        </w:tc>
        <w:tc>
          <w:tcPr>
            <w:tcW w:w="3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公园有公厕3座，男厕位14个，女厕位20个。每座公厕有专人清洁,清洁时间：07:00-11:00、13:30-17:30.共计8小时。清洁标准参照《广州市环卫作业年度预算指标》(2016)专人管理（二级指标）子目乘以系数0.9计算为10831.89*0.9=9748.701元/厕位/年（含清洁工具）。</w:t>
            </w:r>
          </w:p>
        </w:tc>
      </w:tr>
      <w:tr>
        <w:tblPrEx>
          <w:shd w:val="clear" w:color="auto" w:fill="auto"/>
          <w:tblCellMar>
            <w:top w:w="0" w:type="dxa"/>
            <w:left w:w="0" w:type="dxa"/>
            <w:bottom w:w="0" w:type="dxa"/>
            <w:right w:w="0" w:type="dxa"/>
          </w:tblCellMar>
        </w:tblPrEx>
        <w:trPr>
          <w:gridAfter w:val="1"/>
          <w:wBefore w:w="0" w:type="auto"/>
          <w:wAfter w:w="5550" w:type="dxa"/>
          <w:trHeight w:val="735"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Theme="minorEastAsia" w:hAnsiTheme="minorEastAsia" w:eastAsiaTheme="minorEastAsia" w:cstheme="minorEastAsia"/>
                <w:i w:val="0"/>
                <w:color w:val="000000"/>
                <w:sz w:val="20"/>
                <w:szCs w:val="20"/>
                <w:highlight w:val="none"/>
                <w:u w:val="none"/>
              </w:rPr>
            </w:pP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highlight w:val="none"/>
                <w:u w:val="none"/>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小便槽</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个</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2</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9748.7</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 xml:space="preserve">19497.40 </w:t>
            </w:r>
          </w:p>
        </w:tc>
        <w:tc>
          <w:tcPr>
            <w:tcW w:w="3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全园公厕小便槽8米，清洁标准参照广州市环卫作业年度预算指标小便槽按4米折算为一个1厕位计算为8÷4=2个厕位（含清洁工具）。</w:t>
            </w:r>
          </w:p>
        </w:tc>
      </w:tr>
      <w:tr>
        <w:tblPrEx>
          <w:shd w:val="clear" w:color="auto" w:fill="auto"/>
          <w:tblCellMar>
            <w:top w:w="0" w:type="dxa"/>
            <w:left w:w="0" w:type="dxa"/>
            <w:bottom w:w="0" w:type="dxa"/>
            <w:right w:w="0" w:type="dxa"/>
          </w:tblCellMar>
        </w:tblPrEx>
        <w:trPr>
          <w:gridAfter w:val="1"/>
          <w:wBefore w:w="0" w:type="auto"/>
          <w:wAfter w:w="5550" w:type="dxa"/>
          <w:trHeight w:val="743"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Theme="minorEastAsia" w:hAnsiTheme="minorEastAsia" w:eastAsiaTheme="minorEastAsia" w:cstheme="minorEastAsia"/>
                <w:i w:val="0"/>
                <w:color w:val="000000"/>
                <w:sz w:val="20"/>
                <w:szCs w:val="20"/>
                <w:highlight w:val="none"/>
                <w:u w:val="none"/>
              </w:rPr>
            </w:pP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垃圾清运</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桶/天</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12</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13.5</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 xml:space="preserve">59130.00 </w:t>
            </w:r>
          </w:p>
        </w:tc>
        <w:tc>
          <w:tcPr>
            <w:tcW w:w="3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12桶/天，13.5元/桶，全年清运为：12*13.5*365=59130.00元。</w:t>
            </w:r>
          </w:p>
        </w:tc>
      </w:tr>
      <w:tr>
        <w:tblPrEx>
          <w:shd w:val="clear" w:color="auto" w:fill="auto"/>
          <w:tblCellMar>
            <w:top w:w="0" w:type="dxa"/>
            <w:left w:w="0" w:type="dxa"/>
            <w:bottom w:w="0" w:type="dxa"/>
            <w:right w:w="0" w:type="dxa"/>
          </w:tblCellMar>
        </w:tblPrEx>
        <w:trPr>
          <w:gridAfter w:val="1"/>
          <w:wBefore w:w="0" w:type="auto"/>
          <w:wAfter w:w="5550" w:type="dxa"/>
          <w:trHeight w:val="942"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Theme="minorEastAsia" w:hAnsiTheme="minorEastAsia" w:eastAsiaTheme="minorEastAsia" w:cstheme="minorEastAsia"/>
                <w:i w:val="0"/>
                <w:color w:val="000000"/>
                <w:sz w:val="20"/>
                <w:szCs w:val="20"/>
                <w:highlight w:val="none"/>
                <w:u w:val="none"/>
              </w:rPr>
            </w:pP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安全巡查人员</w:t>
            </w: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人</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 xml:space="preserve">24 </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4093</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 xml:space="preserve">1178784.00 </w:t>
            </w:r>
          </w:p>
        </w:tc>
        <w:tc>
          <w:tcPr>
            <w:tcW w:w="3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根据公园现场管理需要，现场设8个安全巡查岗（24人,含一名班长），每天值班按三班制，每班按8小时/岗计算，费用参照《关于执行《广州市保安服务最低成本价标准（2018年7月修订）的通知》，每人每月 4093元。</w:t>
            </w:r>
          </w:p>
        </w:tc>
      </w:tr>
      <w:tr>
        <w:tblPrEx>
          <w:shd w:val="clear" w:color="auto" w:fill="auto"/>
          <w:tblCellMar>
            <w:top w:w="0" w:type="dxa"/>
            <w:left w:w="0" w:type="dxa"/>
            <w:bottom w:w="0" w:type="dxa"/>
            <w:right w:w="0" w:type="dxa"/>
          </w:tblCellMar>
        </w:tblPrEx>
        <w:trPr>
          <w:gridAfter w:val="1"/>
          <w:wBefore w:w="0" w:type="auto"/>
          <w:wAfter w:w="5550" w:type="dxa"/>
          <w:trHeight w:val="735"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Theme="minorEastAsia" w:hAnsiTheme="minorEastAsia" w:eastAsiaTheme="minorEastAsia" w:cstheme="minorEastAsia"/>
                <w:i w:val="0"/>
                <w:color w:val="000000"/>
                <w:sz w:val="20"/>
                <w:szCs w:val="20"/>
                <w:highlight w:val="none"/>
                <w:u w:val="none"/>
              </w:rPr>
            </w:pPr>
          </w:p>
        </w:tc>
        <w:tc>
          <w:tcPr>
            <w:tcW w:w="26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highlight w:val="none"/>
                <w:u w:val="none"/>
              </w:rPr>
            </w:pPr>
            <w:r>
              <w:rPr>
                <w:rFonts w:hint="eastAsia" w:asciiTheme="minorEastAsia" w:hAnsiTheme="minorEastAsia" w:eastAsiaTheme="minorEastAsia" w:cstheme="minorEastAsia"/>
                <w:b/>
                <w:i w:val="0"/>
                <w:color w:val="000000"/>
                <w:kern w:val="0"/>
                <w:sz w:val="20"/>
                <w:szCs w:val="20"/>
                <w:highlight w:val="none"/>
                <w:u w:val="none"/>
                <w:lang w:val="en-US" w:eastAsia="zh-CN" w:bidi="ar"/>
              </w:rPr>
              <w:t>小计</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jc w:val="center"/>
              <w:rPr>
                <w:rFonts w:hint="eastAsia" w:asciiTheme="minorEastAsia" w:hAnsiTheme="minorEastAsia" w:eastAsiaTheme="minorEastAsia" w:cstheme="minorEastAsia"/>
                <w:b/>
                <w:i w:val="0"/>
                <w:color w:val="000000"/>
                <w:sz w:val="20"/>
                <w:szCs w:val="20"/>
                <w:highlight w:val="none"/>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highlight w:val="none"/>
                <w:u w:val="none"/>
              </w:rPr>
            </w:pPr>
            <w:r>
              <w:rPr>
                <w:rFonts w:hint="eastAsia" w:asciiTheme="minorEastAsia" w:hAnsiTheme="minorEastAsia" w:eastAsiaTheme="minorEastAsia" w:cstheme="minorEastAsia"/>
                <w:b/>
                <w:i w:val="0"/>
                <w:color w:val="000000"/>
                <w:kern w:val="0"/>
                <w:sz w:val="20"/>
                <w:szCs w:val="20"/>
                <w:highlight w:val="none"/>
                <w:u w:val="none"/>
                <w:lang w:val="en-US" w:eastAsia="zh-CN" w:bidi="ar"/>
              </w:rPr>
              <w:t xml:space="preserve">3060056.06 </w:t>
            </w:r>
          </w:p>
        </w:tc>
        <w:tc>
          <w:tcPr>
            <w:tcW w:w="3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b/>
                <w:i w:val="0"/>
                <w:color w:val="000000"/>
                <w:sz w:val="20"/>
                <w:szCs w:val="20"/>
                <w:highlight w:val="none"/>
                <w:u w:val="none"/>
              </w:rPr>
            </w:pPr>
          </w:p>
        </w:tc>
      </w:tr>
      <w:tr>
        <w:tblPrEx>
          <w:shd w:val="clear" w:color="auto" w:fill="auto"/>
          <w:tblCellMar>
            <w:top w:w="0" w:type="dxa"/>
            <w:left w:w="0" w:type="dxa"/>
            <w:bottom w:w="0" w:type="dxa"/>
            <w:right w:w="0" w:type="dxa"/>
          </w:tblCellMar>
        </w:tblPrEx>
        <w:trPr>
          <w:gridAfter w:val="1"/>
          <w:wBefore w:w="0" w:type="auto"/>
          <w:wAfter w:w="5550" w:type="dxa"/>
          <w:trHeight w:val="743"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荔枝公园</w:t>
            </w: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日常绿化养护</w:t>
            </w: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项</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16897.5</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15.98</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 xml:space="preserve">270022.05 </w:t>
            </w:r>
          </w:p>
        </w:tc>
        <w:tc>
          <w:tcPr>
            <w:tcW w:w="3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参照《广州市城市绿地常规养护工程年度费用估算指标》(2018)，绿地养护（一级养护标准）15.98元/㎡/年。公园绿地面积约16897.5㎡。</w:t>
            </w:r>
          </w:p>
        </w:tc>
      </w:tr>
      <w:tr>
        <w:tblPrEx>
          <w:shd w:val="clear" w:color="auto" w:fill="auto"/>
          <w:tblCellMar>
            <w:top w:w="0" w:type="dxa"/>
            <w:left w:w="0" w:type="dxa"/>
            <w:bottom w:w="0" w:type="dxa"/>
            <w:right w:w="0" w:type="dxa"/>
          </w:tblCellMar>
        </w:tblPrEx>
        <w:trPr>
          <w:gridAfter w:val="1"/>
          <w:wBefore w:w="0" w:type="auto"/>
          <w:wAfter w:w="5550" w:type="dxa"/>
          <w:trHeight w:val="743"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Theme="minorEastAsia" w:hAnsiTheme="minorEastAsia" w:eastAsiaTheme="minorEastAsia" w:cstheme="minorEastAsia"/>
                <w:i w:val="0"/>
                <w:color w:val="000000"/>
                <w:sz w:val="20"/>
                <w:szCs w:val="20"/>
                <w:highlight w:val="none"/>
                <w:u w:val="none"/>
              </w:rPr>
            </w:pP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白蚁防治</w:t>
            </w: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项</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2816.25</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1.32</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 xml:space="preserve">3717.45 </w:t>
            </w:r>
          </w:p>
        </w:tc>
        <w:tc>
          <w:tcPr>
            <w:tcW w:w="3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公园日常防治面积约2816.25㎡，参照区财局2011年审核单价1.32元/㎡/年。</w:t>
            </w:r>
          </w:p>
        </w:tc>
      </w:tr>
      <w:tr>
        <w:tblPrEx>
          <w:shd w:val="clear" w:color="auto" w:fill="auto"/>
          <w:tblCellMar>
            <w:top w:w="0" w:type="dxa"/>
            <w:left w:w="0" w:type="dxa"/>
            <w:bottom w:w="0" w:type="dxa"/>
            <w:right w:w="0" w:type="dxa"/>
          </w:tblCellMar>
        </w:tblPrEx>
        <w:trPr>
          <w:gridAfter w:val="1"/>
          <w:wBefore w:w="0" w:type="auto"/>
          <w:wAfter w:w="5550" w:type="dxa"/>
          <w:trHeight w:val="859"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Theme="minorEastAsia" w:hAnsiTheme="minorEastAsia" w:eastAsiaTheme="minorEastAsia" w:cstheme="minorEastAsia"/>
                <w:i w:val="0"/>
                <w:color w:val="000000"/>
                <w:sz w:val="20"/>
                <w:szCs w:val="20"/>
                <w:highlight w:val="none"/>
                <w:u w:val="none"/>
              </w:rPr>
            </w:pP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建筑和硬地清洁</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4492.7</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13.87</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 xml:space="preserve">62313.75 </w:t>
            </w:r>
          </w:p>
        </w:tc>
        <w:tc>
          <w:tcPr>
            <w:tcW w:w="3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公园建筑和硬地清洁面积约4492.7㎡，清洁时间：07:00-11:00、13:30-17:30.共计8小时。清洁标准参照《广州市环卫作业年度预算指标》(2016)道路人工清扫保洁，二级道路标准13.87元/㎡/年（含清洁工具）。</w:t>
            </w:r>
          </w:p>
        </w:tc>
      </w:tr>
      <w:tr>
        <w:tblPrEx>
          <w:shd w:val="clear" w:color="auto" w:fill="auto"/>
          <w:tblCellMar>
            <w:top w:w="0" w:type="dxa"/>
            <w:left w:w="0" w:type="dxa"/>
            <w:bottom w:w="0" w:type="dxa"/>
            <w:right w:w="0" w:type="dxa"/>
          </w:tblCellMar>
        </w:tblPrEx>
        <w:trPr>
          <w:gridAfter w:val="1"/>
          <w:wBefore w:w="0" w:type="auto"/>
          <w:wAfter w:w="5550" w:type="dxa"/>
          <w:trHeight w:val="743"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Theme="minorEastAsia" w:hAnsiTheme="minorEastAsia" w:eastAsiaTheme="minorEastAsia" w:cstheme="minorEastAsia"/>
                <w:i w:val="0"/>
                <w:color w:val="000000"/>
                <w:sz w:val="20"/>
                <w:szCs w:val="20"/>
                <w:highlight w:val="none"/>
                <w:u w:val="none"/>
              </w:rPr>
            </w:pP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水体清洁</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m</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840</w:t>
            </w:r>
          </w:p>
        </w:tc>
        <w:tc>
          <w:tcPr>
            <w:tcW w:w="80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3.39</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 xml:space="preserve">2847.60 </w:t>
            </w:r>
          </w:p>
        </w:tc>
        <w:tc>
          <w:tcPr>
            <w:tcW w:w="37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全园水体日常养护岸边线840m。公园水体养护参照《广州市城市绿地常规养护工程年度费用估算指标（2018）》三级养护标准（3.39元/m/年）。</w:t>
            </w:r>
          </w:p>
        </w:tc>
      </w:tr>
      <w:tr>
        <w:tblPrEx>
          <w:shd w:val="clear" w:color="auto" w:fill="auto"/>
          <w:tblCellMar>
            <w:top w:w="0" w:type="dxa"/>
            <w:left w:w="0" w:type="dxa"/>
            <w:bottom w:w="0" w:type="dxa"/>
            <w:right w:w="0" w:type="dxa"/>
          </w:tblCellMar>
        </w:tblPrEx>
        <w:trPr>
          <w:gridAfter w:val="1"/>
          <w:wBefore w:w="0" w:type="auto"/>
          <w:wAfter w:w="5550" w:type="dxa"/>
          <w:trHeight w:val="1043"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Theme="minorEastAsia" w:hAnsiTheme="minorEastAsia" w:eastAsiaTheme="minorEastAsia" w:cstheme="minorEastAsia"/>
                <w:i w:val="0"/>
                <w:color w:val="000000"/>
                <w:sz w:val="20"/>
                <w:szCs w:val="20"/>
                <w:highlight w:val="none"/>
                <w:u w:val="none"/>
              </w:rPr>
            </w:pPr>
          </w:p>
        </w:tc>
        <w:tc>
          <w:tcPr>
            <w:tcW w:w="12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公厕清洁</w:t>
            </w:r>
          </w:p>
        </w:tc>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厕位</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个</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6</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9748.7</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 xml:space="preserve">58492.20 </w:t>
            </w:r>
          </w:p>
        </w:tc>
        <w:tc>
          <w:tcPr>
            <w:tcW w:w="3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公园有公厕1座，男厕位3个，女厕位3个。每座公厕有专人清洁,清洁时间：07:00-11:00、13:30-17:30.共计8小时。清洁标准参照《广州市环卫作业年度预算指标》(2016)专人管理（二级指标）子目乘以系数0.9计算为10831.89*0.9=9748.701元/厕位/年（含清洁工具）。</w:t>
            </w:r>
          </w:p>
        </w:tc>
      </w:tr>
      <w:tr>
        <w:tblPrEx>
          <w:shd w:val="clear" w:color="auto" w:fill="auto"/>
          <w:tblCellMar>
            <w:top w:w="0" w:type="dxa"/>
            <w:left w:w="0" w:type="dxa"/>
            <w:bottom w:w="0" w:type="dxa"/>
            <w:right w:w="0" w:type="dxa"/>
          </w:tblCellMar>
        </w:tblPrEx>
        <w:trPr>
          <w:gridAfter w:val="1"/>
          <w:wBefore w:w="0" w:type="auto"/>
          <w:wAfter w:w="5550" w:type="dxa"/>
          <w:trHeight w:val="743"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Theme="minorEastAsia" w:hAnsiTheme="minorEastAsia" w:eastAsiaTheme="minorEastAsia" w:cstheme="minorEastAsia"/>
                <w:i w:val="0"/>
                <w:color w:val="000000"/>
                <w:sz w:val="20"/>
                <w:szCs w:val="20"/>
                <w:highlight w:val="none"/>
                <w:u w:val="none"/>
              </w:rPr>
            </w:pP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highlight w:val="none"/>
                <w:u w:val="none"/>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小便器</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个</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0.9</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9748.7</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 xml:space="preserve">8773.83 </w:t>
            </w:r>
          </w:p>
        </w:tc>
        <w:tc>
          <w:tcPr>
            <w:tcW w:w="3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全园公厕小便器共3个，清洁标准参照《广州市环卫作业年度预算指标》(2016)小便器按总数乘以系数0.3计算为3*0.3=0.9个厕位（含清洁工具）。</w:t>
            </w:r>
          </w:p>
        </w:tc>
      </w:tr>
      <w:tr>
        <w:tblPrEx>
          <w:shd w:val="clear" w:color="auto" w:fill="auto"/>
          <w:tblCellMar>
            <w:top w:w="0" w:type="dxa"/>
            <w:left w:w="0" w:type="dxa"/>
            <w:bottom w:w="0" w:type="dxa"/>
            <w:right w:w="0" w:type="dxa"/>
          </w:tblCellMar>
        </w:tblPrEx>
        <w:trPr>
          <w:gridAfter w:val="1"/>
          <w:wBefore w:w="0" w:type="auto"/>
          <w:wAfter w:w="5550" w:type="dxa"/>
          <w:trHeight w:val="743"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Theme="minorEastAsia" w:hAnsiTheme="minorEastAsia" w:eastAsiaTheme="minorEastAsia" w:cstheme="minorEastAsia"/>
                <w:i w:val="0"/>
                <w:color w:val="000000"/>
                <w:sz w:val="20"/>
                <w:szCs w:val="20"/>
                <w:highlight w:val="none"/>
                <w:u w:val="none"/>
              </w:rPr>
            </w:pP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垃圾清运</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桶/天</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6</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13.5</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 xml:space="preserve">29565.00 </w:t>
            </w:r>
          </w:p>
        </w:tc>
        <w:tc>
          <w:tcPr>
            <w:tcW w:w="3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6桶/天，13.5元/桶，全年清运为：6*13.5*365=29565.00元。</w:t>
            </w:r>
          </w:p>
        </w:tc>
      </w:tr>
      <w:tr>
        <w:tblPrEx>
          <w:shd w:val="clear" w:color="auto" w:fill="auto"/>
          <w:tblCellMar>
            <w:top w:w="0" w:type="dxa"/>
            <w:left w:w="0" w:type="dxa"/>
            <w:bottom w:w="0" w:type="dxa"/>
            <w:right w:w="0" w:type="dxa"/>
          </w:tblCellMar>
        </w:tblPrEx>
        <w:trPr>
          <w:gridAfter w:val="1"/>
          <w:wBefore w:w="0" w:type="auto"/>
          <w:wAfter w:w="5550" w:type="dxa"/>
          <w:trHeight w:val="90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Theme="minorEastAsia" w:hAnsiTheme="minorEastAsia" w:eastAsiaTheme="minorEastAsia" w:cstheme="minorEastAsia"/>
                <w:i w:val="0"/>
                <w:color w:val="000000"/>
                <w:sz w:val="20"/>
                <w:szCs w:val="20"/>
                <w:highlight w:val="none"/>
                <w:u w:val="none"/>
              </w:rPr>
            </w:pP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安全巡查人员</w:t>
            </w: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人</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6</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4093</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 xml:space="preserve">294696.00 </w:t>
            </w:r>
          </w:p>
        </w:tc>
        <w:tc>
          <w:tcPr>
            <w:tcW w:w="3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根据公园现场管理需要，现场设2个安全巡查岗（6人,含一名班长），每天值班按三班制，每班按8小时/岗计算，费用参照《关于执行《广州市保安服务最低成本价标准（2018年7月修订）的通知》，每人每月 4093元。</w:t>
            </w:r>
          </w:p>
        </w:tc>
      </w:tr>
      <w:tr>
        <w:tblPrEx>
          <w:tblCellMar>
            <w:top w:w="0" w:type="dxa"/>
            <w:left w:w="0" w:type="dxa"/>
            <w:bottom w:w="0" w:type="dxa"/>
            <w:right w:w="0" w:type="dxa"/>
          </w:tblCellMar>
        </w:tblPrEx>
        <w:trPr>
          <w:gridAfter w:val="1"/>
          <w:wBefore w:w="0" w:type="auto"/>
          <w:wAfter w:w="5550" w:type="dxa"/>
          <w:trHeight w:val="743"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Theme="minorEastAsia" w:hAnsiTheme="minorEastAsia" w:eastAsiaTheme="minorEastAsia" w:cstheme="minorEastAsia"/>
                <w:i w:val="0"/>
                <w:color w:val="000000"/>
                <w:sz w:val="20"/>
                <w:szCs w:val="20"/>
                <w:highlight w:val="none"/>
                <w:u w:val="none"/>
              </w:rPr>
            </w:pPr>
          </w:p>
        </w:tc>
        <w:tc>
          <w:tcPr>
            <w:tcW w:w="26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highlight w:val="none"/>
                <w:u w:val="none"/>
              </w:rPr>
            </w:pPr>
            <w:r>
              <w:rPr>
                <w:rFonts w:hint="eastAsia" w:asciiTheme="minorEastAsia" w:hAnsiTheme="minorEastAsia" w:eastAsiaTheme="minorEastAsia" w:cstheme="minorEastAsia"/>
                <w:b/>
                <w:i w:val="0"/>
                <w:color w:val="000000"/>
                <w:kern w:val="0"/>
                <w:sz w:val="20"/>
                <w:szCs w:val="20"/>
                <w:highlight w:val="none"/>
                <w:u w:val="none"/>
                <w:lang w:val="en-US" w:eastAsia="zh-CN" w:bidi="ar"/>
              </w:rPr>
              <w:t>小计</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highlight w:val="none"/>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highlight w:val="none"/>
                <w:u w:val="none"/>
              </w:rPr>
            </w:pPr>
            <w:r>
              <w:rPr>
                <w:rFonts w:hint="eastAsia" w:asciiTheme="minorEastAsia" w:hAnsiTheme="minorEastAsia" w:eastAsiaTheme="minorEastAsia" w:cstheme="minorEastAsia"/>
                <w:b/>
                <w:i w:val="0"/>
                <w:color w:val="000000"/>
                <w:kern w:val="0"/>
                <w:sz w:val="20"/>
                <w:szCs w:val="20"/>
                <w:highlight w:val="none"/>
                <w:u w:val="none"/>
                <w:lang w:val="en-US" w:eastAsia="zh-CN" w:bidi="ar"/>
              </w:rPr>
              <w:t xml:space="preserve">730427.88 </w:t>
            </w:r>
          </w:p>
        </w:tc>
        <w:tc>
          <w:tcPr>
            <w:tcW w:w="3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0"/>
                <w:szCs w:val="20"/>
                <w:highlight w:val="none"/>
                <w:u w:val="none"/>
              </w:rPr>
            </w:pPr>
          </w:p>
        </w:tc>
      </w:tr>
      <w:tr>
        <w:tblPrEx>
          <w:shd w:val="clear" w:color="auto" w:fill="auto"/>
          <w:tblCellMar>
            <w:top w:w="0" w:type="dxa"/>
            <w:left w:w="0" w:type="dxa"/>
            <w:bottom w:w="0" w:type="dxa"/>
            <w:right w:w="0" w:type="dxa"/>
          </w:tblCellMar>
        </w:tblPrEx>
        <w:trPr>
          <w:gridAfter w:val="1"/>
          <w:wBefore w:w="0" w:type="auto"/>
          <w:wAfter w:w="5550" w:type="dxa"/>
          <w:trHeight w:val="743"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秦岭公园</w:t>
            </w: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日常绿化养护</w:t>
            </w: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项</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17918</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5.64</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 xml:space="preserve">101057.52 </w:t>
            </w:r>
          </w:p>
        </w:tc>
        <w:tc>
          <w:tcPr>
            <w:tcW w:w="3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参照《广州市城市绿地常规养护工程年度费用估算指标》(2018)，绿地养护（三级养护标准）5.64元/㎡/年。公园绿地面积约17918㎡。</w:t>
            </w:r>
          </w:p>
        </w:tc>
      </w:tr>
      <w:tr>
        <w:tblPrEx>
          <w:shd w:val="clear" w:color="auto" w:fill="auto"/>
          <w:tblCellMar>
            <w:top w:w="0" w:type="dxa"/>
            <w:left w:w="0" w:type="dxa"/>
            <w:bottom w:w="0" w:type="dxa"/>
            <w:right w:w="0" w:type="dxa"/>
          </w:tblCellMar>
        </w:tblPrEx>
        <w:trPr>
          <w:gridAfter w:val="1"/>
          <w:wBefore w:w="0" w:type="auto"/>
          <w:wAfter w:w="5550" w:type="dxa"/>
          <w:trHeight w:val="743"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Theme="minorEastAsia" w:hAnsiTheme="minorEastAsia" w:eastAsiaTheme="minorEastAsia" w:cstheme="minorEastAsia"/>
                <w:i w:val="0"/>
                <w:color w:val="000000"/>
                <w:sz w:val="20"/>
                <w:szCs w:val="20"/>
                <w:highlight w:val="none"/>
                <w:u w:val="none"/>
              </w:rPr>
            </w:pP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白蚁防治</w:t>
            </w: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项</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2986.33</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1.32</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 xml:space="preserve">3941.96 </w:t>
            </w:r>
          </w:p>
        </w:tc>
        <w:tc>
          <w:tcPr>
            <w:tcW w:w="3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公园日常防治面积约2986.33㎡，参照区财局2011年审核单价1.32元/㎡/年。</w:t>
            </w:r>
          </w:p>
        </w:tc>
      </w:tr>
      <w:tr>
        <w:tblPrEx>
          <w:shd w:val="clear" w:color="auto" w:fill="auto"/>
          <w:tblCellMar>
            <w:top w:w="0" w:type="dxa"/>
            <w:left w:w="0" w:type="dxa"/>
            <w:bottom w:w="0" w:type="dxa"/>
            <w:right w:w="0" w:type="dxa"/>
          </w:tblCellMar>
        </w:tblPrEx>
        <w:trPr>
          <w:gridAfter w:val="1"/>
          <w:wBefore w:w="0" w:type="auto"/>
          <w:wAfter w:w="5550" w:type="dxa"/>
          <w:trHeight w:val="919"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Theme="minorEastAsia" w:hAnsiTheme="minorEastAsia" w:eastAsiaTheme="minorEastAsia" w:cstheme="minorEastAsia"/>
                <w:i w:val="0"/>
                <w:color w:val="000000"/>
                <w:sz w:val="20"/>
                <w:szCs w:val="20"/>
                <w:highlight w:val="none"/>
                <w:u w:val="none"/>
              </w:rPr>
            </w:pP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建筑和硬地清洁</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2472</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13.87</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 xml:space="preserve">34286.64 </w:t>
            </w:r>
          </w:p>
        </w:tc>
        <w:tc>
          <w:tcPr>
            <w:tcW w:w="3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公园建筑和硬地清洁面积约2472㎡，清洁时间：07:00-11:00、13:30-17:30.共计8小时。清洁标准参照《广州市环卫作业年度预算指标》(2016)道路人工清扫保洁，二级道路标准13.87元/㎡/年（含清洁工具）。</w:t>
            </w:r>
          </w:p>
        </w:tc>
      </w:tr>
      <w:tr>
        <w:tblPrEx>
          <w:shd w:val="clear" w:color="auto" w:fill="auto"/>
          <w:tblCellMar>
            <w:top w:w="0" w:type="dxa"/>
            <w:left w:w="0" w:type="dxa"/>
            <w:bottom w:w="0" w:type="dxa"/>
            <w:right w:w="0" w:type="dxa"/>
          </w:tblCellMar>
        </w:tblPrEx>
        <w:trPr>
          <w:gridAfter w:val="1"/>
          <w:wBefore w:w="0" w:type="auto"/>
          <w:wAfter w:w="5550" w:type="dxa"/>
          <w:trHeight w:val="108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Theme="minorEastAsia" w:hAnsiTheme="minorEastAsia" w:eastAsiaTheme="minorEastAsia" w:cstheme="minorEastAsia"/>
                <w:i w:val="0"/>
                <w:color w:val="000000"/>
                <w:sz w:val="20"/>
                <w:szCs w:val="20"/>
                <w:highlight w:val="none"/>
                <w:u w:val="none"/>
              </w:rPr>
            </w:pPr>
          </w:p>
        </w:tc>
        <w:tc>
          <w:tcPr>
            <w:tcW w:w="12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公厕清洁</w:t>
            </w:r>
          </w:p>
        </w:tc>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厕位</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个</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17</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9748.7</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 xml:space="preserve">165727.90 </w:t>
            </w:r>
          </w:p>
        </w:tc>
        <w:tc>
          <w:tcPr>
            <w:tcW w:w="3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公园有公厕1座，男厕位7个，女厕位10个。每座公厕有专人清洁,清洁时间：07:00-11:00、13:30-17:30.共计8小时。清洁标准参照《广州市环卫作业年度预算指标》(2016)专人管理（二级指标）子目乘以系数0.9计算为10831.89*0.9=9748.701元/厕位/年（含清洁工具）。</w:t>
            </w:r>
          </w:p>
        </w:tc>
      </w:tr>
      <w:tr>
        <w:tblPrEx>
          <w:shd w:val="clear" w:color="auto" w:fill="auto"/>
          <w:tblCellMar>
            <w:top w:w="0" w:type="dxa"/>
            <w:left w:w="0" w:type="dxa"/>
            <w:bottom w:w="0" w:type="dxa"/>
            <w:right w:w="0" w:type="dxa"/>
          </w:tblCellMar>
        </w:tblPrEx>
        <w:trPr>
          <w:gridAfter w:val="1"/>
          <w:wBefore w:w="0" w:type="auto"/>
          <w:wAfter w:w="5550" w:type="dxa"/>
          <w:trHeight w:val="743"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Theme="minorEastAsia" w:hAnsiTheme="minorEastAsia" w:eastAsiaTheme="minorEastAsia" w:cstheme="minorEastAsia"/>
                <w:i w:val="0"/>
                <w:color w:val="000000"/>
                <w:sz w:val="20"/>
                <w:szCs w:val="20"/>
                <w:highlight w:val="none"/>
                <w:u w:val="none"/>
              </w:rPr>
            </w:pP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highlight w:val="none"/>
                <w:u w:val="none"/>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小便器</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个</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1.2</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9748.7</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 xml:space="preserve">11698.44 </w:t>
            </w:r>
          </w:p>
        </w:tc>
        <w:tc>
          <w:tcPr>
            <w:tcW w:w="3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全园公厕小便器共4个，清洁标准参照《广州市环卫作业年度预算指标》(2016)小便器按总数乘以系数0.3计算为4*0.3=1.2个（含清洁工具）。</w:t>
            </w:r>
          </w:p>
        </w:tc>
      </w:tr>
      <w:tr>
        <w:tblPrEx>
          <w:shd w:val="clear" w:color="auto" w:fill="auto"/>
          <w:tblCellMar>
            <w:top w:w="0" w:type="dxa"/>
            <w:left w:w="0" w:type="dxa"/>
            <w:bottom w:w="0" w:type="dxa"/>
            <w:right w:w="0" w:type="dxa"/>
          </w:tblCellMar>
        </w:tblPrEx>
        <w:trPr>
          <w:gridAfter w:val="1"/>
          <w:wBefore w:w="0" w:type="auto"/>
          <w:wAfter w:w="5550" w:type="dxa"/>
          <w:trHeight w:val="743"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Theme="minorEastAsia" w:hAnsiTheme="minorEastAsia" w:eastAsiaTheme="minorEastAsia" w:cstheme="minorEastAsia"/>
                <w:i w:val="0"/>
                <w:color w:val="000000"/>
                <w:sz w:val="20"/>
                <w:szCs w:val="20"/>
                <w:highlight w:val="none"/>
                <w:u w:val="none"/>
              </w:rPr>
            </w:pP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垃圾清运</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桶/天</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2</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13.5</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 xml:space="preserve">9855.00 </w:t>
            </w:r>
          </w:p>
        </w:tc>
        <w:tc>
          <w:tcPr>
            <w:tcW w:w="3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2桶/天，13.5元/桶，全年清运为：2*13.5*365=9855.00元。</w:t>
            </w:r>
          </w:p>
        </w:tc>
      </w:tr>
      <w:tr>
        <w:tblPrEx>
          <w:tblCellMar>
            <w:top w:w="0" w:type="dxa"/>
            <w:left w:w="0" w:type="dxa"/>
            <w:bottom w:w="0" w:type="dxa"/>
            <w:right w:w="0" w:type="dxa"/>
          </w:tblCellMar>
        </w:tblPrEx>
        <w:trPr>
          <w:gridAfter w:val="1"/>
          <w:wBefore w:w="0" w:type="auto"/>
          <w:wAfter w:w="5550" w:type="dxa"/>
          <w:trHeight w:val="8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Theme="minorEastAsia" w:hAnsiTheme="minorEastAsia" w:eastAsiaTheme="minorEastAsia" w:cstheme="minorEastAsia"/>
                <w:i w:val="0"/>
                <w:color w:val="000000"/>
                <w:sz w:val="20"/>
                <w:szCs w:val="20"/>
                <w:highlight w:val="none"/>
                <w:u w:val="none"/>
              </w:rPr>
            </w:pP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安全巡查人员</w:t>
            </w: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人</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6</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4093</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 xml:space="preserve">294696.00 </w:t>
            </w:r>
          </w:p>
        </w:tc>
        <w:tc>
          <w:tcPr>
            <w:tcW w:w="3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根据公园现场管理需要，现场设2个安全巡查岗（6人,含一名班长），每天值班按三班制，每班按8小时/岗计算，费用参照《关于执行《广州市保安服务最低成本价标准（2018年7月修订）的通知》，每人每月 4093元。</w:t>
            </w:r>
          </w:p>
        </w:tc>
      </w:tr>
      <w:tr>
        <w:tblPrEx>
          <w:shd w:val="clear" w:color="auto" w:fill="auto"/>
          <w:tblCellMar>
            <w:top w:w="0" w:type="dxa"/>
            <w:left w:w="0" w:type="dxa"/>
            <w:bottom w:w="0" w:type="dxa"/>
            <w:right w:w="0" w:type="dxa"/>
          </w:tblCellMar>
        </w:tblPrEx>
        <w:trPr>
          <w:gridAfter w:val="1"/>
          <w:wBefore w:w="0" w:type="auto"/>
          <w:wAfter w:w="5550" w:type="dxa"/>
          <w:trHeight w:val="743"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Theme="minorEastAsia" w:hAnsiTheme="minorEastAsia" w:eastAsiaTheme="minorEastAsia" w:cstheme="minorEastAsia"/>
                <w:i w:val="0"/>
                <w:color w:val="000000"/>
                <w:sz w:val="20"/>
                <w:szCs w:val="20"/>
                <w:highlight w:val="none"/>
                <w:u w:val="none"/>
              </w:rPr>
            </w:pPr>
          </w:p>
        </w:tc>
        <w:tc>
          <w:tcPr>
            <w:tcW w:w="26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highlight w:val="none"/>
                <w:u w:val="none"/>
              </w:rPr>
            </w:pPr>
            <w:r>
              <w:rPr>
                <w:rFonts w:hint="eastAsia" w:asciiTheme="minorEastAsia" w:hAnsiTheme="minorEastAsia" w:eastAsiaTheme="minorEastAsia" w:cstheme="minorEastAsia"/>
                <w:b/>
                <w:i w:val="0"/>
                <w:color w:val="000000"/>
                <w:kern w:val="0"/>
                <w:sz w:val="20"/>
                <w:szCs w:val="20"/>
                <w:highlight w:val="none"/>
                <w:u w:val="none"/>
                <w:lang w:val="en-US" w:eastAsia="zh-CN" w:bidi="ar"/>
              </w:rPr>
              <w:t>小计</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highlight w:val="none"/>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highlight w:val="none"/>
                <w:u w:val="none"/>
              </w:rPr>
            </w:pPr>
            <w:r>
              <w:rPr>
                <w:rFonts w:hint="eastAsia" w:asciiTheme="minorEastAsia" w:hAnsiTheme="minorEastAsia" w:eastAsiaTheme="minorEastAsia" w:cstheme="minorEastAsia"/>
                <w:b/>
                <w:i w:val="0"/>
                <w:color w:val="000000"/>
                <w:kern w:val="0"/>
                <w:sz w:val="20"/>
                <w:szCs w:val="20"/>
                <w:highlight w:val="none"/>
                <w:u w:val="none"/>
                <w:lang w:val="en-US" w:eastAsia="zh-CN" w:bidi="ar"/>
              </w:rPr>
              <w:t xml:space="preserve">621263.46 </w:t>
            </w:r>
          </w:p>
        </w:tc>
        <w:tc>
          <w:tcPr>
            <w:tcW w:w="3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0"/>
                <w:szCs w:val="20"/>
                <w:highlight w:val="none"/>
                <w:u w:val="none"/>
              </w:rPr>
            </w:pPr>
          </w:p>
        </w:tc>
      </w:tr>
      <w:tr>
        <w:tblPrEx>
          <w:shd w:val="clear" w:color="auto" w:fill="auto"/>
          <w:tblCellMar>
            <w:top w:w="0" w:type="dxa"/>
            <w:left w:w="0" w:type="dxa"/>
            <w:bottom w:w="0" w:type="dxa"/>
            <w:right w:w="0" w:type="dxa"/>
          </w:tblCellMar>
        </w:tblPrEx>
        <w:trPr>
          <w:gridAfter w:val="1"/>
          <w:wBefore w:w="0" w:type="auto"/>
          <w:wAfter w:w="5550" w:type="dxa"/>
          <w:trHeight w:val="840"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文园山公园</w:t>
            </w: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日常绿化养护</w:t>
            </w: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项</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24875.5</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5.64</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 xml:space="preserve">140297.82 </w:t>
            </w:r>
          </w:p>
        </w:tc>
        <w:tc>
          <w:tcPr>
            <w:tcW w:w="3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参照《广州市城市绿地常规养护工程年度费用估算指标》(2018)，绿地养护（三级养护标准）5.64元/㎡/年。公园日常绿地养护面积按园内绿地面积*50%约24875.5㎡。</w:t>
            </w:r>
          </w:p>
        </w:tc>
      </w:tr>
      <w:tr>
        <w:tblPrEx>
          <w:shd w:val="clear" w:color="auto" w:fill="auto"/>
          <w:tblCellMar>
            <w:top w:w="0" w:type="dxa"/>
            <w:left w:w="0" w:type="dxa"/>
            <w:bottom w:w="0" w:type="dxa"/>
            <w:right w:w="0" w:type="dxa"/>
          </w:tblCellMar>
        </w:tblPrEx>
        <w:trPr>
          <w:gridAfter w:val="1"/>
          <w:wBefore w:w="0" w:type="auto"/>
          <w:wAfter w:w="5550" w:type="dxa"/>
          <w:trHeight w:val="743"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Theme="minorEastAsia" w:hAnsiTheme="minorEastAsia" w:eastAsiaTheme="minorEastAsia" w:cstheme="minorEastAsia"/>
                <w:i w:val="0"/>
                <w:color w:val="000000"/>
                <w:sz w:val="20"/>
                <w:szCs w:val="20"/>
                <w:highlight w:val="none"/>
                <w:u w:val="none"/>
              </w:rPr>
            </w:pP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白蚁防治</w:t>
            </w: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项</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8291.83</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1.32</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 xml:space="preserve">10945.22 </w:t>
            </w:r>
          </w:p>
        </w:tc>
        <w:tc>
          <w:tcPr>
            <w:tcW w:w="3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公园日常防治面积约8291.83㎡，参照区财局2011年审核单价1.32元/㎡/年。</w:t>
            </w:r>
          </w:p>
        </w:tc>
      </w:tr>
      <w:tr>
        <w:tblPrEx>
          <w:shd w:val="clear" w:color="auto" w:fill="auto"/>
          <w:tblCellMar>
            <w:top w:w="0" w:type="dxa"/>
            <w:left w:w="0" w:type="dxa"/>
            <w:bottom w:w="0" w:type="dxa"/>
            <w:right w:w="0" w:type="dxa"/>
          </w:tblCellMar>
        </w:tblPrEx>
        <w:trPr>
          <w:gridAfter w:val="1"/>
          <w:wBefore w:w="0" w:type="auto"/>
          <w:wAfter w:w="5550" w:type="dxa"/>
          <w:trHeight w:val="840"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Theme="minorEastAsia" w:hAnsiTheme="minorEastAsia" w:eastAsiaTheme="minorEastAsia" w:cstheme="minorEastAsia"/>
                <w:i w:val="0"/>
                <w:color w:val="000000"/>
                <w:sz w:val="20"/>
                <w:szCs w:val="20"/>
                <w:highlight w:val="none"/>
                <w:u w:val="none"/>
              </w:rPr>
            </w:pP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建筑和硬地清洁</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6249</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13.87</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 xml:space="preserve">86673.63 </w:t>
            </w:r>
          </w:p>
        </w:tc>
        <w:tc>
          <w:tcPr>
            <w:tcW w:w="3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公园建筑和硬地清洁面积约6249㎡，清洁时间：07:00-11:00、13:30-17:30.共计8小时。清洁标准参照《广州市环卫作业年度预算指标》(2016)道路人工清扫保洁，二级道路标准13.87元/㎡/年（含清洁工具）。</w:t>
            </w:r>
          </w:p>
        </w:tc>
      </w:tr>
      <w:tr>
        <w:tblPrEx>
          <w:shd w:val="clear" w:color="auto" w:fill="auto"/>
          <w:tblCellMar>
            <w:top w:w="0" w:type="dxa"/>
            <w:left w:w="0" w:type="dxa"/>
            <w:bottom w:w="0" w:type="dxa"/>
            <w:right w:w="0" w:type="dxa"/>
          </w:tblCellMar>
        </w:tblPrEx>
        <w:trPr>
          <w:gridAfter w:val="1"/>
          <w:wBefore w:w="0" w:type="auto"/>
          <w:wAfter w:w="5550" w:type="dxa"/>
          <w:trHeight w:val="1103"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Theme="minorEastAsia" w:hAnsiTheme="minorEastAsia" w:eastAsiaTheme="minorEastAsia" w:cstheme="minorEastAsia"/>
                <w:i w:val="0"/>
                <w:color w:val="000000"/>
                <w:sz w:val="20"/>
                <w:szCs w:val="20"/>
                <w:highlight w:val="none"/>
                <w:u w:val="none"/>
              </w:rPr>
            </w:pPr>
          </w:p>
        </w:tc>
        <w:tc>
          <w:tcPr>
            <w:tcW w:w="12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公厕清洁</w:t>
            </w:r>
          </w:p>
        </w:tc>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厕位</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个</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7</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9748.7</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 xml:space="preserve">68240.90 </w:t>
            </w:r>
          </w:p>
        </w:tc>
        <w:tc>
          <w:tcPr>
            <w:tcW w:w="3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公园有公厕1座，男厕位3个，女厕位4个。每座公厕有专人清洁,清洁时间：07:00-11:00、13:30-17:30.共计8小时。清洁标准参照《广州市环卫作业年度预算指标》(2016)专人管理（二级指标）子目乘以系数0.9计算为10831.89*0.9=9748.701元/厕位/年（含清洁工具）。</w:t>
            </w:r>
          </w:p>
        </w:tc>
      </w:tr>
      <w:tr>
        <w:tblPrEx>
          <w:shd w:val="clear" w:color="auto" w:fill="auto"/>
          <w:tblCellMar>
            <w:top w:w="0" w:type="dxa"/>
            <w:left w:w="0" w:type="dxa"/>
            <w:bottom w:w="0" w:type="dxa"/>
            <w:right w:w="0" w:type="dxa"/>
          </w:tblCellMar>
        </w:tblPrEx>
        <w:trPr>
          <w:gridAfter w:val="1"/>
          <w:wBefore w:w="0" w:type="auto"/>
          <w:wAfter w:w="5550" w:type="dxa"/>
          <w:trHeight w:val="743"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Theme="minorEastAsia" w:hAnsiTheme="minorEastAsia" w:eastAsiaTheme="minorEastAsia" w:cstheme="minorEastAsia"/>
                <w:i w:val="0"/>
                <w:color w:val="000000"/>
                <w:sz w:val="20"/>
                <w:szCs w:val="20"/>
                <w:highlight w:val="none"/>
                <w:u w:val="none"/>
              </w:rPr>
            </w:pP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highlight w:val="none"/>
                <w:u w:val="none"/>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小便器</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个</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0.6</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9748.7</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 xml:space="preserve">5849.22 </w:t>
            </w:r>
          </w:p>
        </w:tc>
        <w:tc>
          <w:tcPr>
            <w:tcW w:w="3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全园公厕小便器共2个，清洁标准参照《广州市环卫作业年度预算指标》(2016)小便器按总数乘以系数0.3计算为2*0.3=0.6个（含清洁工具）。</w:t>
            </w:r>
          </w:p>
        </w:tc>
      </w:tr>
      <w:tr>
        <w:tblPrEx>
          <w:shd w:val="clear" w:color="auto" w:fill="auto"/>
          <w:tblCellMar>
            <w:top w:w="0" w:type="dxa"/>
            <w:left w:w="0" w:type="dxa"/>
            <w:bottom w:w="0" w:type="dxa"/>
            <w:right w:w="0" w:type="dxa"/>
          </w:tblCellMar>
        </w:tblPrEx>
        <w:trPr>
          <w:gridAfter w:val="1"/>
          <w:wBefore w:w="0" w:type="auto"/>
          <w:wAfter w:w="5550" w:type="dxa"/>
          <w:trHeight w:val="743"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Theme="minorEastAsia" w:hAnsiTheme="minorEastAsia" w:eastAsiaTheme="minorEastAsia" w:cstheme="minorEastAsia"/>
                <w:i w:val="0"/>
                <w:color w:val="000000"/>
                <w:sz w:val="20"/>
                <w:szCs w:val="20"/>
                <w:highlight w:val="none"/>
                <w:u w:val="none"/>
              </w:rPr>
            </w:pP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垃圾清运</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桶/天</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2</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13.5</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 xml:space="preserve">9855.00 </w:t>
            </w:r>
          </w:p>
        </w:tc>
        <w:tc>
          <w:tcPr>
            <w:tcW w:w="3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2桶/天，13.5元/桶，全年清运为：2*13.5*365=9855.00元。</w:t>
            </w:r>
          </w:p>
        </w:tc>
      </w:tr>
      <w:tr>
        <w:tblPrEx>
          <w:shd w:val="clear" w:color="auto" w:fill="auto"/>
          <w:tblCellMar>
            <w:top w:w="0" w:type="dxa"/>
            <w:left w:w="0" w:type="dxa"/>
            <w:bottom w:w="0" w:type="dxa"/>
            <w:right w:w="0" w:type="dxa"/>
          </w:tblCellMar>
        </w:tblPrEx>
        <w:trPr>
          <w:gridAfter w:val="1"/>
          <w:wBefore w:w="0" w:type="auto"/>
          <w:wAfter w:w="5550" w:type="dxa"/>
          <w:trHeight w:val="822"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Theme="minorEastAsia" w:hAnsiTheme="minorEastAsia" w:eastAsiaTheme="minorEastAsia" w:cstheme="minorEastAsia"/>
                <w:i w:val="0"/>
                <w:color w:val="000000"/>
                <w:sz w:val="20"/>
                <w:szCs w:val="20"/>
                <w:highlight w:val="none"/>
                <w:u w:val="none"/>
              </w:rPr>
            </w:pP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安全巡查人员</w:t>
            </w: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人</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6</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4093</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 xml:space="preserve">294696.00 </w:t>
            </w:r>
          </w:p>
        </w:tc>
        <w:tc>
          <w:tcPr>
            <w:tcW w:w="3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根据公园现场管理需要，现场设2个安全巡查岗（6人,含一名班长），每天值班按三班制，每班按8小时/岗计算，费用参照《关于执行《广州市保安服务最低成本价标准（2018年7月修订）的通知》，每人每月 4093元。</w:t>
            </w:r>
          </w:p>
        </w:tc>
      </w:tr>
      <w:tr>
        <w:tblPrEx>
          <w:shd w:val="clear" w:color="auto" w:fill="auto"/>
          <w:tblCellMar>
            <w:top w:w="0" w:type="dxa"/>
            <w:left w:w="0" w:type="dxa"/>
            <w:bottom w:w="0" w:type="dxa"/>
            <w:right w:w="0" w:type="dxa"/>
          </w:tblCellMar>
        </w:tblPrEx>
        <w:trPr>
          <w:gridAfter w:val="1"/>
          <w:wBefore w:w="0" w:type="auto"/>
          <w:wAfter w:w="5550" w:type="dxa"/>
          <w:trHeight w:val="743"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Theme="minorEastAsia" w:hAnsiTheme="minorEastAsia" w:eastAsiaTheme="minorEastAsia" w:cstheme="minorEastAsia"/>
                <w:i w:val="0"/>
                <w:color w:val="000000"/>
                <w:sz w:val="20"/>
                <w:szCs w:val="20"/>
                <w:highlight w:val="none"/>
                <w:u w:val="none"/>
              </w:rPr>
            </w:pPr>
          </w:p>
        </w:tc>
        <w:tc>
          <w:tcPr>
            <w:tcW w:w="26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highlight w:val="none"/>
                <w:u w:val="none"/>
              </w:rPr>
            </w:pPr>
            <w:r>
              <w:rPr>
                <w:rFonts w:hint="eastAsia" w:asciiTheme="minorEastAsia" w:hAnsiTheme="minorEastAsia" w:eastAsiaTheme="minorEastAsia" w:cstheme="minorEastAsia"/>
                <w:b/>
                <w:i w:val="0"/>
                <w:color w:val="000000"/>
                <w:kern w:val="0"/>
                <w:sz w:val="20"/>
                <w:szCs w:val="20"/>
                <w:highlight w:val="none"/>
                <w:u w:val="none"/>
                <w:lang w:val="en-US" w:eastAsia="zh-CN" w:bidi="ar"/>
              </w:rPr>
              <w:t>小计</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highlight w:val="none"/>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highlight w:val="none"/>
                <w:u w:val="none"/>
              </w:rPr>
            </w:pPr>
            <w:r>
              <w:rPr>
                <w:rFonts w:hint="eastAsia" w:asciiTheme="minorEastAsia" w:hAnsiTheme="minorEastAsia" w:eastAsiaTheme="minorEastAsia" w:cstheme="minorEastAsia"/>
                <w:b/>
                <w:i w:val="0"/>
                <w:color w:val="000000"/>
                <w:kern w:val="0"/>
                <w:sz w:val="20"/>
                <w:szCs w:val="20"/>
                <w:highlight w:val="none"/>
                <w:u w:val="none"/>
                <w:lang w:val="en-US" w:eastAsia="zh-CN" w:bidi="ar"/>
              </w:rPr>
              <w:t xml:space="preserve">616557.79 </w:t>
            </w:r>
          </w:p>
        </w:tc>
        <w:tc>
          <w:tcPr>
            <w:tcW w:w="3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0"/>
                <w:szCs w:val="20"/>
                <w:highlight w:val="none"/>
                <w:u w:val="none"/>
              </w:rPr>
            </w:pPr>
          </w:p>
        </w:tc>
      </w:tr>
      <w:tr>
        <w:tblPrEx>
          <w:shd w:val="clear" w:color="auto" w:fill="auto"/>
          <w:tblCellMar>
            <w:top w:w="0" w:type="dxa"/>
            <w:left w:w="0" w:type="dxa"/>
            <w:bottom w:w="0" w:type="dxa"/>
            <w:right w:w="0" w:type="dxa"/>
          </w:tblCellMar>
        </w:tblPrEx>
        <w:trPr>
          <w:gridAfter w:val="1"/>
          <w:wBefore w:w="0" w:type="auto"/>
          <w:wAfter w:w="5550" w:type="dxa"/>
          <w:trHeight w:val="743" w:hRule="atLeast"/>
        </w:trPr>
        <w:tc>
          <w:tcPr>
            <w:tcW w:w="6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牛山炮台公园</w:t>
            </w: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日常绿化养护</w:t>
            </w: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项</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57011.5</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5.64</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 xml:space="preserve">321544.86 </w:t>
            </w:r>
          </w:p>
        </w:tc>
        <w:tc>
          <w:tcPr>
            <w:tcW w:w="3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参照《广州市城市绿地常规养护工程年度费用估算指标》(2018)，绿地养护（三级养护标准）5.64元/㎡/年。公园日常绿地养护面积按园内绿地面积*50%折算约57011.5㎡。</w:t>
            </w:r>
          </w:p>
        </w:tc>
      </w:tr>
      <w:tr>
        <w:tblPrEx>
          <w:shd w:val="clear" w:color="auto" w:fill="auto"/>
          <w:tblCellMar>
            <w:top w:w="0" w:type="dxa"/>
            <w:left w:w="0" w:type="dxa"/>
            <w:bottom w:w="0" w:type="dxa"/>
            <w:right w:w="0" w:type="dxa"/>
          </w:tblCellMar>
        </w:tblPrEx>
        <w:trPr>
          <w:gridAfter w:val="1"/>
          <w:wBefore w:w="0" w:type="auto"/>
          <w:wAfter w:w="5550" w:type="dxa"/>
          <w:trHeight w:val="743"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Theme="minorEastAsia" w:hAnsiTheme="minorEastAsia" w:eastAsiaTheme="minorEastAsia" w:cstheme="minorEastAsia"/>
                <w:i w:val="0"/>
                <w:color w:val="000000"/>
                <w:sz w:val="20"/>
                <w:szCs w:val="20"/>
                <w:highlight w:val="none"/>
                <w:u w:val="none"/>
              </w:rPr>
            </w:pP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白蚁防治</w:t>
            </w: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项</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19003.83</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1.32</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 xml:space="preserve">25085.06 </w:t>
            </w:r>
          </w:p>
        </w:tc>
        <w:tc>
          <w:tcPr>
            <w:tcW w:w="3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公园日常防治面积约19003.83㎡，参照区财局2011年审核单价1.32元/㎡/年。</w:t>
            </w:r>
          </w:p>
        </w:tc>
      </w:tr>
      <w:tr>
        <w:tblPrEx>
          <w:shd w:val="clear" w:color="auto" w:fill="auto"/>
          <w:tblCellMar>
            <w:top w:w="0" w:type="dxa"/>
            <w:left w:w="0" w:type="dxa"/>
            <w:bottom w:w="0" w:type="dxa"/>
            <w:right w:w="0" w:type="dxa"/>
          </w:tblCellMar>
        </w:tblPrEx>
        <w:trPr>
          <w:gridAfter w:val="1"/>
          <w:wBefore w:w="0" w:type="auto"/>
          <w:wAfter w:w="5550" w:type="dxa"/>
          <w:trHeight w:val="859"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Theme="minorEastAsia" w:hAnsiTheme="minorEastAsia" w:eastAsiaTheme="minorEastAsia" w:cstheme="minorEastAsia"/>
                <w:i w:val="0"/>
                <w:color w:val="000000"/>
                <w:sz w:val="20"/>
                <w:szCs w:val="20"/>
                <w:highlight w:val="none"/>
                <w:u w:val="none"/>
              </w:rPr>
            </w:pP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建筑和硬地清洁</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10977</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13.87</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 xml:space="preserve">152250.99 </w:t>
            </w:r>
          </w:p>
        </w:tc>
        <w:tc>
          <w:tcPr>
            <w:tcW w:w="3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公园建筑和硬地清洁面积约10977㎡，清洁时间：07:00-11:00、13:30-17:30.共计8小时。清洁标准参照《广州市环卫作业年度预算指标》(2016)道路人工清扫保洁，二级道路标准13.87元/㎡/年（含清洁工具）。</w:t>
            </w:r>
          </w:p>
        </w:tc>
      </w:tr>
      <w:tr>
        <w:tblPrEx>
          <w:shd w:val="clear" w:color="auto" w:fill="auto"/>
          <w:tblCellMar>
            <w:top w:w="0" w:type="dxa"/>
            <w:left w:w="0" w:type="dxa"/>
            <w:bottom w:w="0" w:type="dxa"/>
            <w:right w:w="0" w:type="dxa"/>
          </w:tblCellMar>
        </w:tblPrEx>
        <w:trPr>
          <w:gridAfter w:val="1"/>
          <w:wBefore w:w="0" w:type="auto"/>
          <w:wAfter w:w="5550" w:type="dxa"/>
          <w:trHeight w:val="1058"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Theme="minorEastAsia" w:hAnsiTheme="minorEastAsia" w:eastAsiaTheme="minorEastAsia" w:cstheme="minorEastAsia"/>
                <w:i w:val="0"/>
                <w:color w:val="000000"/>
                <w:sz w:val="20"/>
                <w:szCs w:val="20"/>
                <w:highlight w:val="none"/>
                <w:u w:val="none"/>
              </w:rPr>
            </w:pPr>
          </w:p>
        </w:tc>
        <w:tc>
          <w:tcPr>
            <w:tcW w:w="120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公厕清洁</w:t>
            </w:r>
          </w:p>
        </w:tc>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厕位</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个</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16</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9748.7</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 xml:space="preserve">155979.20 </w:t>
            </w:r>
          </w:p>
        </w:tc>
        <w:tc>
          <w:tcPr>
            <w:tcW w:w="3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公园有公厕2座，男厕位4个，女厕位8个，第三卫生间厕位4个。每座公厕有专人清洁,清洁时间：07:00-11:00、13:30-17:30.共计8小时。清洁标准参照《广州市环卫作业年度预算指标》(2016)专人管理（二级指标）子目乘以系数0.9计算为10831.89*0.9=9748.701元/厕位/年（含清洁工具）。</w:t>
            </w:r>
          </w:p>
        </w:tc>
      </w:tr>
      <w:tr>
        <w:tblPrEx>
          <w:shd w:val="clear" w:color="auto" w:fill="auto"/>
          <w:tblCellMar>
            <w:top w:w="0" w:type="dxa"/>
            <w:left w:w="0" w:type="dxa"/>
            <w:bottom w:w="0" w:type="dxa"/>
            <w:right w:w="0" w:type="dxa"/>
          </w:tblCellMar>
        </w:tblPrEx>
        <w:trPr>
          <w:gridAfter w:val="1"/>
          <w:wBefore w:w="0" w:type="auto"/>
          <w:wAfter w:w="5550" w:type="dxa"/>
          <w:trHeight w:val="743"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Theme="minorEastAsia" w:hAnsiTheme="minorEastAsia" w:eastAsiaTheme="minorEastAsia" w:cstheme="minorEastAsia"/>
                <w:i w:val="0"/>
                <w:color w:val="000000"/>
                <w:sz w:val="20"/>
                <w:szCs w:val="20"/>
                <w:highlight w:val="none"/>
                <w:u w:val="none"/>
              </w:rPr>
            </w:pPr>
          </w:p>
        </w:tc>
        <w:tc>
          <w:tcPr>
            <w:tcW w:w="12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highlight w:val="none"/>
                <w:u w:val="none"/>
              </w:rPr>
            </w:pPr>
          </w:p>
        </w:tc>
        <w:tc>
          <w:tcPr>
            <w:tcW w:w="6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小便器</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个</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1.8</w:t>
            </w:r>
          </w:p>
        </w:tc>
        <w:tc>
          <w:tcPr>
            <w:tcW w:w="8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9748.7</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 xml:space="preserve">17547.66 </w:t>
            </w:r>
          </w:p>
        </w:tc>
        <w:tc>
          <w:tcPr>
            <w:tcW w:w="3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全园公厕小便器共6个，清洁标准参照《广州市环卫作业年度预算指标》(2016)小便器按总数乘以系数0.3计算为6*0.3=1.8个（含清洁工具）。</w:t>
            </w:r>
          </w:p>
        </w:tc>
      </w:tr>
      <w:tr>
        <w:tblPrEx>
          <w:tblCellMar>
            <w:top w:w="0" w:type="dxa"/>
            <w:left w:w="0" w:type="dxa"/>
            <w:bottom w:w="0" w:type="dxa"/>
            <w:right w:w="0" w:type="dxa"/>
          </w:tblCellMar>
        </w:tblPrEx>
        <w:trPr>
          <w:gridAfter w:val="1"/>
          <w:wBefore w:w="0" w:type="auto"/>
          <w:wAfter w:w="5550" w:type="dxa"/>
          <w:trHeight w:val="743"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Theme="minorEastAsia" w:hAnsiTheme="minorEastAsia" w:eastAsiaTheme="minorEastAsia" w:cstheme="minorEastAsia"/>
                <w:i w:val="0"/>
                <w:color w:val="000000"/>
                <w:sz w:val="20"/>
                <w:szCs w:val="20"/>
                <w:highlight w:val="none"/>
                <w:u w:val="none"/>
              </w:rPr>
            </w:pP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垃圾清运</w:t>
            </w:r>
          </w:p>
        </w:tc>
        <w:tc>
          <w:tcPr>
            <w:tcW w:w="7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桶/天</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4</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13.5</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 xml:space="preserve">19710.00 </w:t>
            </w:r>
          </w:p>
        </w:tc>
        <w:tc>
          <w:tcPr>
            <w:tcW w:w="3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4桶/天，13.5元/桶，全年清运为：4*13.5*365=19710.00元。</w:t>
            </w:r>
          </w:p>
        </w:tc>
      </w:tr>
      <w:tr>
        <w:tblPrEx>
          <w:shd w:val="clear" w:color="auto" w:fill="auto"/>
          <w:tblCellMar>
            <w:top w:w="0" w:type="dxa"/>
            <w:left w:w="0" w:type="dxa"/>
            <w:bottom w:w="0" w:type="dxa"/>
            <w:right w:w="0" w:type="dxa"/>
          </w:tblCellMar>
        </w:tblPrEx>
        <w:trPr>
          <w:gridAfter w:val="1"/>
          <w:wBefore w:w="0" w:type="auto"/>
          <w:wAfter w:w="5550" w:type="dxa"/>
          <w:trHeight w:val="855"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Theme="minorEastAsia" w:hAnsiTheme="minorEastAsia" w:eastAsiaTheme="minorEastAsia" w:cstheme="minorEastAsia"/>
                <w:i w:val="0"/>
                <w:color w:val="000000"/>
                <w:sz w:val="20"/>
                <w:szCs w:val="20"/>
                <w:highlight w:val="none"/>
                <w:u w:val="none"/>
              </w:rPr>
            </w:pP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安全巡查人员</w:t>
            </w:r>
          </w:p>
        </w:tc>
        <w:tc>
          <w:tcPr>
            <w:tcW w:w="7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人</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12</w:t>
            </w: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4093</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 xml:space="preserve">589392.00 </w:t>
            </w:r>
          </w:p>
        </w:tc>
        <w:tc>
          <w:tcPr>
            <w:tcW w:w="3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0"/>
                <w:szCs w:val="20"/>
                <w:highlight w:val="none"/>
                <w:u w:val="none"/>
              </w:rPr>
            </w:pPr>
            <w:r>
              <w:rPr>
                <w:rFonts w:hint="eastAsia" w:asciiTheme="minorEastAsia" w:hAnsiTheme="minorEastAsia" w:eastAsiaTheme="minorEastAsia" w:cstheme="minorEastAsia"/>
                <w:i w:val="0"/>
                <w:color w:val="000000"/>
                <w:kern w:val="0"/>
                <w:sz w:val="20"/>
                <w:szCs w:val="20"/>
                <w:highlight w:val="none"/>
                <w:u w:val="none"/>
                <w:lang w:val="en-US" w:eastAsia="zh-CN" w:bidi="ar"/>
              </w:rPr>
              <w:t>根据公园现场管理需要，现场设4个安全巡查岗（12人,含一名班长），每天值班按三班制，每班按8小时/岗计算，费用参照《关于执行《广州市保安服务最低成本价标准（2018年7月修订）的通知》，每人每月 4093元。</w:t>
            </w:r>
          </w:p>
        </w:tc>
      </w:tr>
      <w:tr>
        <w:tblPrEx>
          <w:shd w:val="clear" w:color="auto" w:fill="auto"/>
          <w:tblCellMar>
            <w:top w:w="0" w:type="dxa"/>
            <w:left w:w="0" w:type="dxa"/>
            <w:bottom w:w="0" w:type="dxa"/>
            <w:right w:w="0" w:type="dxa"/>
          </w:tblCellMar>
        </w:tblPrEx>
        <w:trPr>
          <w:gridAfter w:val="1"/>
          <w:wBefore w:w="0" w:type="auto"/>
          <w:wAfter w:w="5550" w:type="dxa"/>
          <w:trHeight w:val="743" w:hRule="atLeast"/>
        </w:trPr>
        <w:tc>
          <w:tcPr>
            <w:tcW w:w="6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Theme="minorEastAsia" w:hAnsiTheme="minorEastAsia" w:eastAsiaTheme="minorEastAsia" w:cstheme="minorEastAsia"/>
                <w:i w:val="0"/>
                <w:color w:val="000000"/>
                <w:sz w:val="20"/>
                <w:szCs w:val="20"/>
                <w:highlight w:val="none"/>
                <w:u w:val="none"/>
              </w:rPr>
            </w:pPr>
          </w:p>
        </w:tc>
        <w:tc>
          <w:tcPr>
            <w:tcW w:w="26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highlight w:val="none"/>
                <w:u w:val="none"/>
              </w:rPr>
            </w:pPr>
            <w:r>
              <w:rPr>
                <w:rFonts w:hint="eastAsia" w:asciiTheme="minorEastAsia" w:hAnsiTheme="minorEastAsia" w:eastAsiaTheme="minorEastAsia" w:cstheme="minorEastAsia"/>
                <w:b/>
                <w:i w:val="0"/>
                <w:color w:val="000000"/>
                <w:kern w:val="0"/>
                <w:sz w:val="20"/>
                <w:szCs w:val="20"/>
                <w:highlight w:val="none"/>
                <w:u w:val="none"/>
                <w:lang w:val="en-US" w:eastAsia="zh-CN" w:bidi="ar"/>
              </w:rPr>
              <w:t>小计</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highlight w:val="none"/>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highlight w:val="none"/>
                <w:u w:val="none"/>
              </w:rPr>
            </w:pPr>
            <w:r>
              <w:rPr>
                <w:rFonts w:hint="eastAsia" w:asciiTheme="minorEastAsia" w:hAnsiTheme="minorEastAsia" w:eastAsiaTheme="minorEastAsia" w:cstheme="minorEastAsia"/>
                <w:b/>
                <w:i w:val="0"/>
                <w:color w:val="000000"/>
                <w:kern w:val="0"/>
                <w:sz w:val="20"/>
                <w:szCs w:val="20"/>
                <w:highlight w:val="none"/>
                <w:u w:val="none"/>
                <w:lang w:val="en-US" w:eastAsia="zh-CN" w:bidi="ar"/>
              </w:rPr>
              <w:t xml:space="preserve">1281509.77 </w:t>
            </w:r>
          </w:p>
        </w:tc>
        <w:tc>
          <w:tcPr>
            <w:tcW w:w="3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0"/>
                <w:szCs w:val="20"/>
                <w:highlight w:val="none"/>
                <w:u w:val="none"/>
              </w:rPr>
            </w:pPr>
          </w:p>
        </w:tc>
      </w:tr>
      <w:tr>
        <w:tblPrEx>
          <w:shd w:val="clear" w:color="auto" w:fill="auto"/>
          <w:tblCellMar>
            <w:top w:w="0" w:type="dxa"/>
            <w:left w:w="0" w:type="dxa"/>
            <w:bottom w:w="0" w:type="dxa"/>
            <w:right w:w="0" w:type="dxa"/>
          </w:tblCellMar>
        </w:tblPrEx>
        <w:trPr>
          <w:gridAfter w:val="1"/>
          <w:wBefore w:w="0" w:type="auto"/>
          <w:wAfter w:w="5550" w:type="dxa"/>
          <w:trHeight w:val="675" w:hRule="atLeast"/>
        </w:trPr>
        <w:tc>
          <w:tcPr>
            <w:tcW w:w="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Theme="minorEastAsia" w:hAnsiTheme="minorEastAsia" w:eastAsiaTheme="minorEastAsia" w:cstheme="minorEastAsia"/>
                <w:i w:val="0"/>
                <w:color w:val="000000"/>
                <w:sz w:val="20"/>
                <w:szCs w:val="20"/>
                <w:highlight w:val="none"/>
                <w:u w:val="none"/>
              </w:rPr>
            </w:pPr>
          </w:p>
        </w:tc>
        <w:tc>
          <w:tcPr>
            <w:tcW w:w="263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highlight w:val="none"/>
                <w:u w:val="none"/>
              </w:rPr>
            </w:pPr>
            <w:r>
              <w:rPr>
                <w:rFonts w:hint="eastAsia" w:asciiTheme="minorEastAsia" w:hAnsiTheme="minorEastAsia" w:eastAsiaTheme="minorEastAsia" w:cstheme="minorEastAsia"/>
                <w:b/>
                <w:i w:val="0"/>
                <w:color w:val="000000"/>
                <w:kern w:val="0"/>
                <w:sz w:val="20"/>
                <w:szCs w:val="20"/>
                <w:highlight w:val="none"/>
                <w:u w:val="none"/>
                <w:lang w:val="en-US" w:eastAsia="zh-CN" w:bidi="ar"/>
              </w:rPr>
              <w:t>合计</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highlight w:val="none"/>
                <w:u w:val="none"/>
              </w:rPr>
            </w:pPr>
          </w:p>
        </w:tc>
        <w:tc>
          <w:tcPr>
            <w:tcW w:w="8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highlight w:val="none"/>
                <w:u w:val="none"/>
              </w:rPr>
            </w:pP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0"/>
                <w:szCs w:val="20"/>
                <w:highlight w:val="none"/>
                <w:u w:val="none"/>
              </w:rPr>
            </w:pPr>
            <w:r>
              <w:rPr>
                <w:rFonts w:hint="eastAsia" w:asciiTheme="minorEastAsia" w:hAnsiTheme="minorEastAsia" w:eastAsiaTheme="minorEastAsia" w:cstheme="minorEastAsia"/>
                <w:b/>
                <w:i w:val="0"/>
                <w:color w:val="000000"/>
                <w:kern w:val="0"/>
                <w:sz w:val="20"/>
                <w:szCs w:val="20"/>
                <w:highlight w:val="none"/>
                <w:u w:val="none"/>
                <w:lang w:val="en-US" w:eastAsia="zh-CN" w:bidi="ar"/>
              </w:rPr>
              <w:t xml:space="preserve">6309814.96 </w:t>
            </w:r>
          </w:p>
        </w:tc>
        <w:tc>
          <w:tcPr>
            <w:tcW w:w="37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heme="minorEastAsia" w:hAnsiTheme="minorEastAsia" w:eastAsiaTheme="minorEastAsia" w:cstheme="minorEastAsia"/>
                <w:i w:val="0"/>
                <w:color w:val="000000"/>
                <w:sz w:val="20"/>
                <w:szCs w:val="20"/>
                <w:highlight w:val="none"/>
                <w:u w:val="none"/>
              </w:rPr>
            </w:pPr>
          </w:p>
        </w:tc>
      </w:tr>
      <w:tr>
        <w:tblPrEx>
          <w:shd w:val="clear" w:color="auto" w:fill="auto"/>
          <w:tblCellMar>
            <w:top w:w="0" w:type="dxa"/>
            <w:left w:w="0" w:type="dxa"/>
            <w:bottom w:w="0" w:type="dxa"/>
            <w:right w:w="0" w:type="dxa"/>
          </w:tblCellMar>
        </w:tblPrEx>
        <w:trPr>
          <w:trHeight w:val="705" w:hRule="atLeast"/>
        </w:trPr>
        <w:tc>
          <w:tcPr>
            <w:tcW w:w="15675" w:type="dxa"/>
            <w:gridSpan w:val="9"/>
            <w:tcBorders>
              <w:top w:val="single" w:color="000000" w:sz="4" w:space="0"/>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24"/>
                <w:szCs w:val="24"/>
                <w:highlight w:val="none"/>
                <w:u w:val="none"/>
              </w:rPr>
            </w:pPr>
            <w:r>
              <w:rPr>
                <w:rFonts w:hint="eastAsia" w:asciiTheme="minorEastAsia" w:hAnsiTheme="minorEastAsia" w:eastAsiaTheme="minorEastAsia" w:cstheme="minorEastAsia"/>
                <w:i w:val="0"/>
                <w:color w:val="000000"/>
                <w:kern w:val="0"/>
                <w:sz w:val="24"/>
                <w:szCs w:val="24"/>
                <w:highlight w:val="none"/>
                <w:u w:val="none"/>
                <w:lang w:val="en-US" w:eastAsia="zh-CN" w:bidi="ar"/>
              </w:rPr>
              <w:t>公园年度管理费用约631万元，本次采购服务期3年（36个月）,采购预算631*3＝1893万元。</w:t>
            </w:r>
          </w:p>
        </w:tc>
      </w:tr>
    </w:tbl>
    <w:p>
      <w:pPr>
        <w:pStyle w:val="2"/>
        <w:rPr>
          <w:rFonts w:hint="eastAsia" w:asciiTheme="minorEastAsia" w:hAnsiTheme="minorEastAsia" w:eastAsiaTheme="minorEastAsia" w:cstheme="minorEastAsia"/>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B15F28"/>
    <w:rsid w:val="014710C6"/>
    <w:rsid w:val="04656CB3"/>
    <w:rsid w:val="05B15F28"/>
    <w:rsid w:val="088A49C8"/>
    <w:rsid w:val="09BA7B03"/>
    <w:rsid w:val="0A7F313E"/>
    <w:rsid w:val="0C732B06"/>
    <w:rsid w:val="0E175B46"/>
    <w:rsid w:val="0FDC7B09"/>
    <w:rsid w:val="101F698E"/>
    <w:rsid w:val="15D93177"/>
    <w:rsid w:val="17E55539"/>
    <w:rsid w:val="19540AD2"/>
    <w:rsid w:val="1A0E79EB"/>
    <w:rsid w:val="1BAD5E2A"/>
    <w:rsid w:val="1C3868E4"/>
    <w:rsid w:val="1DCF63BE"/>
    <w:rsid w:val="22E75CB2"/>
    <w:rsid w:val="24682028"/>
    <w:rsid w:val="26C20B65"/>
    <w:rsid w:val="283643EA"/>
    <w:rsid w:val="289F4891"/>
    <w:rsid w:val="28A750C9"/>
    <w:rsid w:val="29F01669"/>
    <w:rsid w:val="2A265ED6"/>
    <w:rsid w:val="30172FD4"/>
    <w:rsid w:val="32D74C1F"/>
    <w:rsid w:val="387754B8"/>
    <w:rsid w:val="3A9B113B"/>
    <w:rsid w:val="457E1F01"/>
    <w:rsid w:val="46020329"/>
    <w:rsid w:val="464C7FD9"/>
    <w:rsid w:val="48736820"/>
    <w:rsid w:val="49A3003B"/>
    <w:rsid w:val="4A5B7152"/>
    <w:rsid w:val="4B1C7649"/>
    <w:rsid w:val="4B7E6F49"/>
    <w:rsid w:val="4B960330"/>
    <w:rsid w:val="4C5B482E"/>
    <w:rsid w:val="4CFB36AD"/>
    <w:rsid w:val="4EC13BB2"/>
    <w:rsid w:val="503D319E"/>
    <w:rsid w:val="50700E50"/>
    <w:rsid w:val="520921DE"/>
    <w:rsid w:val="53212AE7"/>
    <w:rsid w:val="57CB7949"/>
    <w:rsid w:val="5CD7133C"/>
    <w:rsid w:val="5F4459CD"/>
    <w:rsid w:val="613B2F03"/>
    <w:rsid w:val="65A568EE"/>
    <w:rsid w:val="66A9469C"/>
    <w:rsid w:val="68AF3DBA"/>
    <w:rsid w:val="6AB441AC"/>
    <w:rsid w:val="6AEA6EB9"/>
    <w:rsid w:val="6D634FEB"/>
    <w:rsid w:val="6DDB4482"/>
    <w:rsid w:val="6E966BB4"/>
    <w:rsid w:val="6EF03BAE"/>
    <w:rsid w:val="6F905F30"/>
    <w:rsid w:val="6FD70BA3"/>
    <w:rsid w:val="70D75B90"/>
    <w:rsid w:val="712613FA"/>
    <w:rsid w:val="71804A07"/>
    <w:rsid w:val="73EE5BB3"/>
    <w:rsid w:val="74BE4963"/>
    <w:rsid w:val="774357BA"/>
    <w:rsid w:val="776A4C2B"/>
    <w:rsid w:val="789328E2"/>
    <w:rsid w:val="796869E0"/>
    <w:rsid w:val="7BDC2EDC"/>
    <w:rsid w:val="7E0E70AC"/>
    <w:rsid w:val="7FEA1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spacing w:line="360" w:lineRule="auto"/>
      <w:ind w:right="-441" w:rightChars="-209"/>
      <w:jc w:val="center"/>
      <w:outlineLvl w:val="0"/>
    </w:pPr>
    <w:rPr>
      <w:rFonts w:ascii="宋体" w:hAnsi="宋体"/>
      <w:b/>
      <w:kern w:val="0"/>
      <w:sz w:val="48"/>
    </w:rPr>
  </w:style>
  <w:style w:type="paragraph" w:styleId="2">
    <w:name w:val="heading 2"/>
    <w:basedOn w:val="1"/>
    <w:next w:val="1"/>
    <w:qFormat/>
    <w:uiPriority w:val="0"/>
    <w:pPr>
      <w:keepNext/>
      <w:keepLines/>
      <w:adjustRightInd w:val="0"/>
      <w:spacing w:before="62" w:beforeLines="20" w:after="62" w:afterLines="20" w:line="360" w:lineRule="auto"/>
      <w:outlineLvl w:val="1"/>
    </w:pPr>
    <w:rPr>
      <w:rFonts w:ascii="宋体" w:hAnsi="宋体"/>
      <w:b/>
      <w:kern w:val="0"/>
      <w:sz w:val="30"/>
      <w:szCs w:val="20"/>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widowControl/>
      <w:ind w:firstLine="420"/>
      <w:jc w:val="left"/>
    </w:pPr>
    <w:rPr>
      <w:kern w:val="0"/>
      <w:sz w:val="20"/>
      <w:szCs w:val="20"/>
    </w:rPr>
  </w:style>
  <w:style w:type="paragraph" w:styleId="5">
    <w:name w:val="Plain Text"/>
    <w:basedOn w:val="1"/>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Times New Roman"/>
      <w:kern w:val="2"/>
      <w:sz w:val="21"/>
      <w:szCs w:val="21"/>
      <w:lang w:val="en-US" w:eastAsia="zh-CN" w:bidi="ar"/>
    </w:rPr>
  </w:style>
  <w:style w:type="paragraph" w:styleId="6">
    <w:name w:val="Normal (Web)"/>
    <w:basedOn w:val="1"/>
    <w:qFormat/>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2020-08-27T08:17:00Z</dcterms:created>
  <dc:creator>Administrator</dc:creator>
  <cp:lastModifiedBy>WL</cp:lastModifiedBy>
  <dcterms:modified xsi:type="dcterms:W3CDTF">2020-09-27T06:46:21Z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