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b/>
          <w:bCs/>
          <w:sz w:val="44"/>
          <w:szCs w:val="44"/>
          <w:lang w:eastAsia="zh-CN"/>
        </w:rPr>
      </w:pPr>
      <w:r>
        <w:rPr>
          <w:rFonts w:hint="eastAsia" w:ascii="方正小标宋简体" w:hAnsi="方正小标宋简体" w:eastAsia="方正小标宋简体" w:cs="方正小标宋简体"/>
          <w:b/>
          <w:bCs/>
          <w:sz w:val="44"/>
          <w:szCs w:val="44"/>
          <w:lang w:eastAsia="zh-CN"/>
        </w:rPr>
        <w:t>广州市黄埔区市场监督管理局</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bCs/>
        </w:rPr>
      </w:pPr>
      <w:r>
        <w:rPr>
          <w:rFonts w:hint="eastAsia" w:ascii="方正小标宋简体" w:hAnsi="方正小标宋简体" w:eastAsia="方正小标宋简体" w:cs="方正小标宋简体"/>
          <w:b/>
          <w:bCs/>
          <w:sz w:val="44"/>
          <w:szCs w:val="44"/>
        </w:rPr>
        <w:t>行政处罚决定书</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rPr>
      </w:pPr>
      <w:r>
        <w:rPr>
          <w:rFonts w:hint="eastAsia" w:ascii="仿宋_GB2312" w:hAnsi="仿宋_GB2312" w:eastAsia="仿宋_GB2312" w:cs="仿宋_GB2312"/>
          <w:sz w:val="32"/>
          <w:szCs w:val="32"/>
          <w:lang w:eastAsia="zh-CN"/>
        </w:rPr>
        <w:t>穗</w:t>
      </w:r>
      <w:r>
        <w:rPr>
          <w:rFonts w:hint="eastAsia" w:ascii="仿宋_GB2312" w:hAnsi="仿宋_GB2312" w:eastAsia="仿宋_GB2312" w:cs="仿宋_GB2312"/>
          <w:sz w:val="32"/>
          <w:szCs w:val="32"/>
        </w:rPr>
        <w:t>埔</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监</w:t>
      </w:r>
      <w:r>
        <w:rPr>
          <w:rFonts w:hint="eastAsia" w:ascii="仿宋_GB2312" w:hAnsi="仿宋_GB2312" w:eastAsia="仿宋_GB2312" w:cs="仿宋_GB2312"/>
          <w:sz w:val="32"/>
          <w:szCs w:val="32"/>
          <w:lang w:eastAsia="zh-CN"/>
        </w:rPr>
        <w:t>红山处字</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号</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u w:val="none" w:color="auto"/>
          <w:lang w:val="en-US" w:eastAsia="zh-CN"/>
        </w:rPr>
      </w:pPr>
      <w:r>
        <w:rPr>
          <w:rFonts w:hint="eastAsia" w:ascii="仿宋_GB2312" w:hAnsi="仿宋_GB2312" w:eastAsia="仿宋_GB2312" w:cs="仿宋_GB2312"/>
          <w:sz w:val="32"/>
          <w:szCs w:val="32"/>
          <w:u w:val="none" w:color="auto"/>
        </w:rPr>
        <w:t>当事人：</w:t>
      </w:r>
      <w:r>
        <w:rPr>
          <w:rFonts w:hint="eastAsia" w:ascii="仿宋_GB2312" w:hAnsi="仿宋_GB2312" w:eastAsia="仿宋_GB2312" w:cs="仿宋_GB2312"/>
          <w:color w:val="231F20"/>
          <w:sz w:val="32"/>
          <w:szCs w:val="32"/>
          <w:u w:val="none" w:color="auto"/>
          <w:lang w:eastAsia="zh-CN"/>
        </w:rPr>
        <w:t>罗俊平</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sz w:val="32"/>
          <w:szCs w:val="32"/>
          <w:u w:val="none" w:color="auto"/>
          <w:lang w:val="en-US" w:eastAsia="zh-CN"/>
        </w:rPr>
      </w:pPr>
      <w:r>
        <w:rPr>
          <w:rFonts w:hint="eastAsia" w:ascii="仿宋_GB2312" w:hAnsi="仿宋_GB2312" w:eastAsia="仿宋_GB2312" w:cs="仿宋_GB2312"/>
          <w:sz w:val="32"/>
          <w:szCs w:val="32"/>
          <w:u w:val="none" w:color="auto"/>
        </w:rPr>
        <w:t>统一社会信用代码（注册号）：</w:t>
      </w:r>
      <w:r>
        <w:rPr>
          <w:rFonts w:hint="eastAsia" w:ascii="仿宋_GB2312" w:hAnsi="仿宋_GB2312" w:eastAsia="仿宋_GB2312" w:cs="仿宋_GB2312"/>
          <w:sz w:val="32"/>
          <w:szCs w:val="32"/>
          <w:u w:val="none" w:color="auto"/>
          <w:lang w:val="en-US" w:eastAsia="zh-CN"/>
        </w:rPr>
        <w:t>92440101MA5AKJG40F</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sz w:val="32"/>
          <w:szCs w:val="32"/>
          <w:u w:val="none" w:color="auto"/>
        </w:rPr>
        <w:t>住所（住址）：</w:t>
      </w:r>
      <w:r>
        <w:rPr>
          <w:rFonts w:hint="eastAsia" w:ascii="仿宋_GB2312" w:hAnsi="仿宋_GB2312" w:eastAsia="仿宋_GB2312" w:cs="仿宋_GB2312"/>
          <w:sz w:val="32"/>
          <w:szCs w:val="32"/>
          <w:u w:val="none" w:color="auto"/>
          <w:lang w:eastAsia="zh-CN"/>
        </w:rPr>
        <w:t>广东省普宁市南径镇南径村南径村庵脚村道北东片61号</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u w:val="none" w:color="auto"/>
          <w:lang w:eastAsia="zh-CN"/>
        </w:rPr>
      </w:pPr>
      <w:r>
        <w:rPr>
          <w:rFonts w:hint="eastAsia" w:ascii="仿宋_GB2312" w:hAnsi="仿宋_GB2312" w:eastAsia="仿宋_GB2312" w:cs="仿宋_GB2312"/>
          <w:sz w:val="32"/>
          <w:szCs w:val="32"/>
          <w:u w:val="none" w:color="auto"/>
        </w:rPr>
        <w:t>法定代表人（负责人、经营者）：</w:t>
      </w:r>
      <w:r>
        <w:rPr>
          <w:rFonts w:hint="eastAsia" w:ascii="仿宋_GB2312" w:hAnsi="仿宋_GB2312" w:eastAsia="仿宋_GB2312" w:cs="仿宋_GB2312"/>
          <w:sz w:val="32"/>
          <w:szCs w:val="32"/>
          <w:u w:val="none" w:color="auto"/>
          <w:lang w:eastAsia="zh-CN"/>
        </w:rPr>
        <w:t>罗俊平</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u w:val="none" w:color="auto"/>
          <w:lang w:val="en-US" w:eastAsia="zh-CN"/>
        </w:rPr>
      </w:pPr>
      <w:r>
        <w:rPr>
          <w:rFonts w:hint="eastAsia" w:ascii="仿宋_GB2312" w:hAnsi="仿宋_GB2312" w:eastAsia="仿宋_GB2312" w:cs="仿宋_GB2312"/>
          <w:sz w:val="32"/>
          <w:szCs w:val="32"/>
          <w:u w:val="none" w:color="auto"/>
        </w:rPr>
        <w:t>身份证（其他有效证件）号码：联系电话：  其他联系方式</w:t>
      </w:r>
      <w:r>
        <w:rPr>
          <w:rFonts w:hint="eastAsia" w:ascii="仿宋_GB2312" w:hAnsi="仿宋_GB2312" w:eastAsia="仿宋_GB2312" w:cs="仿宋_GB2312"/>
          <w:sz w:val="32"/>
          <w:szCs w:val="32"/>
          <w:u w:val="none" w:color="auto"/>
          <w:lang w:eastAsia="zh-CN"/>
        </w:rPr>
        <w:t>：</w:t>
      </w:r>
      <w:r>
        <w:rPr>
          <w:rFonts w:hint="eastAsia" w:ascii="仿宋_GB2312" w:hAnsi="仿宋_GB2312" w:eastAsia="仿宋_GB2312" w:cs="仿宋_GB2312"/>
          <w:sz w:val="32"/>
          <w:szCs w:val="32"/>
          <w:u w:val="none" w:color="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sz w:val="32"/>
          <w:szCs w:val="32"/>
          <w:u w:val="none" w:color="auto"/>
        </w:rPr>
        <w:t>联系地址：</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000000"/>
          <w:sz w:val="32"/>
          <w:szCs w:val="32"/>
          <w:u w:val="none" w:color="auto"/>
          <w:lang w:eastAsia="zh-CN"/>
        </w:rPr>
      </w:pPr>
      <w:r>
        <w:rPr>
          <w:rFonts w:hint="eastAsia" w:ascii="仿宋_GB2312" w:hAnsi="仿宋_GB2312" w:eastAsia="仿宋_GB2312" w:cs="仿宋_GB2312"/>
          <w:sz w:val="32"/>
          <w:szCs w:val="32"/>
          <w:u w:val="none" w:color="auto"/>
          <w:lang w:eastAsia="zh-CN"/>
        </w:rPr>
        <w:t>2019年8月28日，广州市市场监督管理局委托广州检验检测认证集团有限公司对当事人的“黄豆芽”、“绿豆芽”和“白菜仔”进行抽样检验。</w:t>
      </w:r>
      <w:r>
        <w:rPr>
          <w:rFonts w:hint="eastAsia" w:ascii="仿宋_GB2312" w:hAnsi="仿宋_GB2312" w:eastAsia="仿宋_GB2312" w:cs="仿宋_GB2312"/>
          <w:color w:val="000000"/>
          <w:sz w:val="32"/>
          <w:szCs w:val="32"/>
          <w:u w:val="none" w:color="auto"/>
          <w:lang w:eastAsia="zh-CN"/>
        </w:rPr>
        <w:t>我局执法人员于</w:t>
      </w:r>
      <w:r>
        <w:rPr>
          <w:rFonts w:hint="eastAsia" w:ascii="仿宋_GB2312" w:hAnsi="仿宋_GB2312" w:eastAsia="仿宋_GB2312" w:cs="仿宋_GB2312"/>
          <w:sz w:val="32"/>
          <w:szCs w:val="32"/>
          <w:u w:val="none" w:color="auto"/>
          <w:lang w:eastAsia="zh-CN"/>
        </w:rPr>
        <w:t>2019年9月25日</w:t>
      </w:r>
      <w:r>
        <w:rPr>
          <w:rFonts w:hint="eastAsia" w:ascii="仿宋_GB2312" w:hAnsi="仿宋_GB2312" w:eastAsia="仿宋_GB2312" w:cs="仿宋_GB2312"/>
          <w:color w:val="000000"/>
          <w:sz w:val="32"/>
          <w:szCs w:val="32"/>
          <w:u w:val="none" w:color="auto"/>
          <w:lang w:eastAsia="zh-CN"/>
        </w:rPr>
        <w:t>对罗俊平的菜档进行现场检查，</w:t>
      </w:r>
      <w:r>
        <w:rPr>
          <w:rFonts w:hint="eastAsia" w:ascii="仿宋_GB2312" w:hAnsi="仿宋_GB2312" w:eastAsia="仿宋_GB2312" w:cs="仿宋_GB2312"/>
          <w:color w:val="231F20"/>
          <w:sz w:val="32"/>
          <w:szCs w:val="32"/>
          <w:u w:val="none" w:color="auto"/>
          <w:lang w:eastAsia="zh-CN"/>
        </w:rPr>
        <w:t>现场检查未发现有“黄豆芽”和“绿豆芽”在售。</w:t>
      </w:r>
      <w:r>
        <w:rPr>
          <w:rFonts w:hint="eastAsia" w:ascii="仿宋_GB2312" w:hAnsi="仿宋_GB2312" w:eastAsia="仿宋_GB2312" w:cs="仿宋_GB2312"/>
          <w:sz w:val="32"/>
          <w:szCs w:val="32"/>
          <w:u w:val="none" w:color="auto"/>
          <w:lang w:eastAsia="zh-CN"/>
        </w:rPr>
        <w:t>2019年10月11日，我局</w:t>
      </w:r>
      <w:r>
        <w:rPr>
          <w:rFonts w:hint="eastAsia" w:ascii="仿宋_GB2312" w:hAnsi="仿宋_GB2312" w:eastAsia="仿宋_GB2312" w:cs="仿宋_GB2312"/>
          <w:color w:val="000000"/>
          <w:sz w:val="32"/>
          <w:szCs w:val="32"/>
          <w:u w:val="none" w:color="auto"/>
          <w:lang w:eastAsia="zh-CN"/>
        </w:rPr>
        <w:t>执法人员收到“白菜仔”检验报告，</w:t>
      </w:r>
      <w:r>
        <w:rPr>
          <w:rFonts w:hint="eastAsia" w:ascii="仿宋_GB2312" w:hAnsi="仿宋_GB2312" w:eastAsia="仿宋_GB2312" w:cs="仿宋_GB2312"/>
          <w:sz w:val="32"/>
          <w:szCs w:val="32"/>
          <w:u w:val="none" w:color="auto"/>
          <w:lang w:eastAsia="zh-CN"/>
        </w:rPr>
        <w:t>现场检查未发现有抽检不合格批次的“白菜仔”在售</w:t>
      </w:r>
      <w:r>
        <w:rPr>
          <w:rFonts w:hint="eastAsia" w:ascii="仿宋_GB2312" w:hAnsi="仿宋_GB2312" w:eastAsia="仿宋_GB2312" w:cs="仿宋_GB2312"/>
          <w:color w:val="000000"/>
          <w:sz w:val="32"/>
          <w:szCs w:val="32"/>
          <w:u w:val="none" w:color="auto"/>
          <w:lang w:eastAsia="zh-CN"/>
        </w:rPr>
        <w:t>。我局于201</w:t>
      </w:r>
      <w:r>
        <w:rPr>
          <w:rFonts w:hint="eastAsia" w:ascii="仿宋_GB2312" w:hAnsi="仿宋_GB2312" w:eastAsia="仿宋_GB2312" w:cs="仿宋_GB2312"/>
          <w:color w:val="000000"/>
          <w:sz w:val="32"/>
          <w:szCs w:val="32"/>
          <w:u w:val="none" w:color="auto"/>
          <w:lang w:val="en-US" w:eastAsia="zh-CN"/>
        </w:rPr>
        <w:t>8</w:t>
      </w:r>
      <w:r>
        <w:rPr>
          <w:rFonts w:hint="eastAsia" w:ascii="仿宋_GB2312" w:hAnsi="仿宋_GB2312" w:eastAsia="仿宋_GB2312" w:cs="仿宋_GB2312"/>
          <w:color w:val="000000"/>
          <w:sz w:val="32"/>
          <w:szCs w:val="32"/>
          <w:u w:val="none" w:color="auto"/>
          <w:lang w:eastAsia="zh-CN"/>
        </w:rPr>
        <w:t>年</w:t>
      </w:r>
      <w:r>
        <w:rPr>
          <w:rFonts w:hint="eastAsia" w:ascii="仿宋_GB2312" w:hAnsi="仿宋_GB2312" w:eastAsia="仿宋_GB2312" w:cs="仿宋_GB2312"/>
          <w:color w:val="000000"/>
          <w:sz w:val="32"/>
          <w:szCs w:val="32"/>
          <w:u w:val="none" w:color="auto"/>
          <w:lang w:val="en-US" w:eastAsia="zh-CN"/>
        </w:rPr>
        <w:t>10</w:t>
      </w:r>
      <w:r>
        <w:rPr>
          <w:rFonts w:hint="eastAsia" w:ascii="仿宋_GB2312" w:hAnsi="仿宋_GB2312" w:eastAsia="仿宋_GB2312" w:cs="仿宋_GB2312"/>
          <w:color w:val="000000"/>
          <w:sz w:val="32"/>
          <w:szCs w:val="32"/>
          <w:u w:val="none" w:color="auto"/>
          <w:lang w:eastAsia="zh-CN"/>
        </w:rPr>
        <w:t>月</w:t>
      </w:r>
      <w:r>
        <w:rPr>
          <w:rFonts w:hint="eastAsia" w:ascii="仿宋_GB2312" w:hAnsi="仿宋_GB2312" w:eastAsia="仿宋_GB2312" w:cs="仿宋_GB2312"/>
          <w:color w:val="000000"/>
          <w:sz w:val="32"/>
          <w:szCs w:val="32"/>
          <w:u w:val="none" w:color="auto"/>
          <w:lang w:val="en-US" w:eastAsia="zh-CN"/>
        </w:rPr>
        <w:t>14</w:t>
      </w:r>
      <w:r>
        <w:rPr>
          <w:rFonts w:hint="eastAsia" w:ascii="仿宋_GB2312" w:hAnsi="仿宋_GB2312" w:eastAsia="仿宋_GB2312" w:cs="仿宋_GB2312"/>
          <w:color w:val="000000"/>
          <w:sz w:val="32"/>
          <w:szCs w:val="32"/>
          <w:u w:val="none" w:color="auto"/>
          <w:lang w:eastAsia="zh-CN"/>
        </w:rPr>
        <w:t>日将</w:t>
      </w:r>
      <w:r>
        <w:rPr>
          <w:rFonts w:hint="eastAsia" w:ascii="仿宋_GB2312" w:hAnsi="仿宋_GB2312" w:eastAsia="仿宋_GB2312" w:cs="仿宋_GB2312"/>
          <w:sz w:val="32"/>
          <w:szCs w:val="32"/>
          <w:u w:val="none" w:color="auto"/>
          <w:lang w:val="en-US" w:eastAsia="zh-CN"/>
        </w:rPr>
        <w:t>两个违法行为合并立案调查。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u w:val="none" w:color="auto"/>
        </w:rPr>
      </w:pPr>
      <w:r>
        <w:rPr>
          <w:rFonts w:hint="eastAsia" w:ascii="仿宋_GB2312" w:hAnsi="仿宋_GB2312" w:eastAsia="仿宋_GB2312" w:cs="仿宋_GB2312"/>
          <w:sz w:val="32"/>
          <w:szCs w:val="32"/>
          <w:u w:val="none" w:color="auto"/>
        </w:rPr>
        <w:t>违法行为一</w:t>
      </w:r>
      <w:r>
        <w:rPr>
          <w:rFonts w:hint="eastAsia" w:ascii="仿宋_GB2312" w:hAnsi="仿宋_GB2312" w:eastAsia="仿宋_GB2312" w:cs="仿宋_GB2312"/>
          <w:sz w:val="32"/>
          <w:szCs w:val="32"/>
          <w:u w:val="none" w:color="auto"/>
          <w:lang w:eastAsia="zh-CN"/>
        </w:rPr>
        <w:t>：</w:t>
      </w:r>
      <w:r>
        <w:rPr>
          <w:rFonts w:hint="eastAsia" w:ascii="仿宋_GB2312" w:hAnsi="仿宋_GB2312" w:eastAsia="仿宋_GB2312" w:cs="仿宋_GB2312"/>
          <w:color w:val="231F20"/>
          <w:sz w:val="32"/>
          <w:szCs w:val="32"/>
          <w:u w:val="none" w:color="auto"/>
          <w:lang w:eastAsia="zh-CN"/>
        </w:rPr>
        <w:t>经营含禁用农药4-氯苯氧乙酸钠物质的“黄豆芽”和“绿豆芽”</w:t>
      </w:r>
      <w:r>
        <w:rPr>
          <w:rFonts w:hint="eastAsia" w:ascii="仿宋_GB2312" w:hAnsi="仿宋_GB2312" w:eastAsia="仿宋_GB2312" w:cs="仿宋_GB2312"/>
          <w:sz w:val="32"/>
          <w:szCs w:val="32"/>
          <w:u w:val="none" w:color="auto"/>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u w:val="none" w:color="auto"/>
        </w:rPr>
      </w:pPr>
      <w:r>
        <w:rPr>
          <w:rFonts w:hint="eastAsia" w:ascii="仿宋_GB2312" w:hAnsi="仿宋_GB2312" w:eastAsia="仿宋_GB2312" w:cs="仿宋_GB2312"/>
          <w:color w:val="231F20"/>
          <w:sz w:val="32"/>
          <w:szCs w:val="32"/>
          <w:u w:val="none" w:color="auto"/>
          <w:lang w:eastAsia="zh-CN"/>
        </w:rPr>
        <w:t>经查明，当事人于201</w:t>
      </w:r>
      <w:r>
        <w:rPr>
          <w:rFonts w:hint="eastAsia" w:ascii="仿宋_GB2312" w:hAnsi="仿宋_GB2312" w:eastAsia="仿宋_GB2312" w:cs="仿宋_GB2312"/>
          <w:color w:val="231F20"/>
          <w:sz w:val="32"/>
          <w:szCs w:val="32"/>
          <w:u w:val="none" w:color="auto"/>
          <w:lang w:val="en-US" w:eastAsia="zh-CN"/>
        </w:rPr>
        <w:t>9</w:t>
      </w:r>
      <w:r>
        <w:rPr>
          <w:rFonts w:hint="eastAsia" w:ascii="仿宋_GB2312" w:hAnsi="仿宋_GB2312" w:eastAsia="仿宋_GB2312" w:cs="仿宋_GB2312"/>
          <w:color w:val="231F20"/>
          <w:sz w:val="32"/>
          <w:szCs w:val="32"/>
          <w:u w:val="none" w:color="auto"/>
          <w:lang w:eastAsia="zh-CN"/>
        </w:rPr>
        <w:t>年</w:t>
      </w:r>
      <w:r>
        <w:rPr>
          <w:rFonts w:hint="eastAsia" w:ascii="仿宋_GB2312" w:hAnsi="仿宋_GB2312" w:eastAsia="仿宋_GB2312" w:cs="仿宋_GB2312"/>
          <w:color w:val="231F20"/>
          <w:sz w:val="32"/>
          <w:szCs w:val="32"/>
          <w:u w:val="none" w:color="auto"/>
          <w:lang w:val="en-US" w:eastAsia="zh-CN"/>
        </w:rPr>
        <w:t>8</w:t>
      </w:r>
      <w:r>
        <w:rPr>
          <w:rFonts w:hint="eastAsia" w:ascii="仿宋_GB2312" w:hAnsi="仿宋_GB2312" w:eastAsia="仿宋_GB2312" w:cs="仿宋_GB2312"/>
          <w:color w:val="231F20"/>
          <w:sz w:val="32"/>
          <w:szCs w:val="32"/>
          <w:u w:val="none" w:color="auto"/>
          <w:lang w:eastAsia="zh-CN"/>
        </w:rPr>
        <w:t>月2</w:t>
      </w:r>
      <w:r>
        <w:rPr>
          <w:rFonts w:hint="eastAsia" w:ascii="仿宋_GB2312" w:hAnsi="仿宋_GB2312" w:eastAsia="仿宋_GB2312" w:cs="仿宋_GB2312"/>
          <w:color w:val="231F20"/>
          <w:sz w:val="32"/>
          <w:szCs w:val="32"/>
          <w:u w:val="none" w:color="auto"/>
          <w:lang w:val="en-US" w:eastAsia="zh-CN"/>
        </w:rPr>
        <w:t>8</w:t>
      </w:r>
      <w:r>
        <w:rPr>
          <w:rFonts w:hint="eastAsia" w:ascii="仿宋_GB2312" w:hAnsi="仿宋_GB2312" w:eastAsia="仿宋_GB2312" w:cs="仿宋_GB2312"/>
          <w:color w:val="231F20"/>
          <w:sz w:val="32"/>
          <w:szCs w:val="32"/>
          <w:u w:val="none" w:color="auto"/>
          <w:lang w:eastAsia="zh-CN"/>
        </w:rPr>
        <w:t>日从文冲市场王修磊处购入“黄豆芽”和“绿豆芽”各</w:t>
      </w:r>
      <w:r>
        <w:rPr>
          <w:rFonts w:hint="eastAsia" w:ascii="仿宋_GB2312" w:hAnsi="仿宋_GB2312" w:eastAsia="仿宋_GB2312" w:cs="仿宋_GB2312"/>
          <w:color w:val="231F20"/>
          <w:sz w:val="32"/>
          <w:szCs w:val="32"/>
          <w:u w:val="none" w:color="auto"/>
          <w:lang w:val="en-US" w:eastAsia="zh-CN"/>
        </w:rPr>
        <w:t>8斤。</w:t>
      </w:r>
      <w:r>
        <w:rPr>
          <w:rFonts w:hint="eastAsia" w:ascii="仿宋_GB2312" w:hAnsi="仿宋_GB2312" w:eastAsia="仿宋_GB2312" w:cs="仿宋_GB2312"/>
          <w:color w:val="231F20"/>
          <w:sz w:val="32"/>
          <w:szCs w:val="32"/>
          <w:u w:val="none" w:color="auto"/>
          <w:lang w:eastAsia="zh-CN"/>
        </w:rPr>
        <w:t>“黄豆芽”进货单价</w:t>
      </w:r>
      <w:r>
        <w:rPr>
          <w:rFonts w:hint="eastAsia" w:ascii="仿宋_GB2312" w:hAnsi="仿宋_GB2312" w:eastAsia="仿宋_GB2312" w:cs="仿宋_GB2312"/>
          <w:color w:val="231F20"/>
          <w:sz w:val="32"/>
          <w:szCs w:val="32"/>
          <w:u w:val="none" w:color="auto"/>
          <w:lang w:val="en-US" w:eastAsia="zh-CN"/>
        </w:rPr>
        <w:t>元/斤</w:t>
      </w:r>
      <w:r>
        <w:rPr>
          <w:rFonts w:hint="eastAsia" w:ascii="仿宋_GB2312" w:hAnsi="仿宋_GB2312" w:eastAsia="仿宋_GB2312" w:cs="仿宋_GB2312"/>
          <w:color w:val="231F20"/>
          <w:sz w:val="32"/>
          <w:szCs w:val="32"/>
          <w:u w:val="none" w:color="auto"/>
          <w:lang w:eastAsia="zh-CN"/>
        </w:rPr>
        <w:t>，销售单价</w:t>
      </w:r>
      <w:r>
        <w:rPr>
          <w:rFonts w:hint="eastAsia" w:ascii="仿宋_GB2312" w:hAnsi="仿宋_GB2312" w:eastAsia="仿宋_GB2312" w:cs="仿宋_GB2312"/>
          <w:color w:val="231F20"/>
          <w:sz w:val="32"/>
          <w:szCs w:val="32"/>
          <w:u w:val="none" w:color="auto"/>
          <w:lang w:val="en-US" w:eastAsia="zh-CN"/>
        </w:rPr>
        <w:t>元/斤；“绿豆芽”进货单价元/斤，销售单价元/斤</w:t>
      </w:r>
      <w:r>
        <w:rPr>
          <w:rFonts w:hint="eastAsia" w:ascii="仿宋_GB2312" w:hAnsi="仿宋_GB2312" w:eastAsia="仿宋_GB2312" w:cs="仿宋_GB2312"/>
          <w:color w:val="231F20"/>
          <w:sz w:val="32"/>
          <w:szCs w:val="32"/>
          <w:u w:val="none" w:color="auto"/>
          <w:lang w:eastAsia="zh-CN"/>
        </w:rPr>
        <w:t>。截止执法人员2019年</w:t>
      </w:r>
      <w:r>
        <w:rPr>
          <w:rFonts w:hint="eastAsia" w:ascii="仿宋_GB2312" w:hAnsi="仿宋_GB2312" w:eastAsia="仿宋_GB2312" w:cs="仿宋_GB2312"/>
          <w:color w:val="231F20"/>
          <w:sz w:val="32"/>
          <w:szCs w:val="32"/>
          <w:u w:val="none" w:color="auto"/>
          <w:lang w:val="en-US" w:eastAsia="zh-CN"/>
        </w:rPr>
        <w:t>9</w:t>
      </w:r>
      <w:r>
        <w:rPr>
          <w:rFonts w:hint="eastAsia" w:ascii="仿宋_GB2312" w:hAnsi="仿宋_GB2312" w:eastAsia="仿宋_GB2312" w:cs="仿宋_GB2312"/>
          <w:color w:val="231F20"/>
          <w:sz w:val="32"/>
          <w:szCs w:val="32"/>
          <w:u w:val="none" w:color="auto"/>
          <w:lang w:eastAsia="zh-CN"/>
        </w:rPr>
        <w:t>月</w:t>
      </w:r>
      <w:r>
        <w:rPr>
          <w:rFonts w:hint="eastAsia" w:ascii="仿宋_GB2312" w:hAnsi="仿宋_GB2312" w:eastAsia="仿宋_GB2312" w:cs="仿宋_GB2312"/>
          <w:color w:val="231F20"/>
          <w:sz w:val="32"/>
          <w:szCs w:val="32"/>
          <w:u w:val="none" w:color="auto"/>
          <w:lang w:val="en-US" w:eastAsia="zh-CN"/>
        </w:rPr>
        <w:t>25</w:t>
      </w:r>
      <w:r>
        <w:rPr>
          <w:rFonts w:hint="eastAsia" w:ascii="仿宋_GB2312" w:hAnsi="仿宋_GB2312" w:eastAsia="仿宋_GB2312" w:cs="仿宋_GB2312"/>
          <w:color w:val="231F20"/>
          <w:sz w:val="32"/>
          <w:szCs w:val="32"/>
          <w:u w:val="none" w:color="auto"/>
          <w:lang w:eastAsia="zh-CN"/>
        </w:rPr>
        <w:t>日现场检查时，现场检查未发现有“黄豆芽”和“绿豆芽”在售。经确认，涉案批次的“黄豆芽”和“绿豆芽”已经销售完毕，当事人经营的“黄豆芽”和“绿豆芽”违法所得应以已涉案批次来认定,当事人销售含禁用农药4-氯苯氧乙酸钠物质的“黄豆芽”和“绿豆芽”各</w:t>
      </w:r>
      <w:r>
        <w:rPr>
          <w:rFonts w:hint="eastAsia" w:ascii="仿宋_GB2312" w:hAnsi="仿宋_GB2312" w:eastAsia="仿宋_GB2312" w:cs="仿宋_GB2312"/>
          <w:color w:val="231F20"/>
          <w:sz w:val="32"/>
          <w:szCs w:val="32"/>
          <w:u w:val="none" w:color="auto"/>
          <w:lang w:val="en-US" w:eastAsia="zh-CN"/>
        </w:rPr>
        <w:t>8斤，共计16斤</w:t>
      </w:r>
      <w:r>
        <w:rPr>
          <w:rFonts w:hint="eastAsia" w:ascii="仿宋_GB2312" w:hAnsi="仿宋_GB2312" w:eastAsia="仿宋_GB2312" w:cs="仿宋_GB2312"/>
          <w:color w:val="231F20"/>
          <w:sz w:val="32"/>
          <w:szCs w:val="32"/>
          <w:u w:val="none" w:color="auto"/>
          <w:lang w:eastAsia="zh-CN"/>
        </w:rPr>
        <w:t>。当事人经营含禁用农药4-氯苯氧乙酸钠物质的“黄豆芽”和“绿豆芽”的行为，违反了</w:t>
      </w:r>
      <w:r>
        <w:rPr>
          <w:rFonts w:hint="eastAsia" w:ascii="仿宋_GB2312" w:hAnsi="仿宋_GB2312" w:eastAsia="仿宋_GB2312" w:cs="仿宋_GB2312"/>
          <w:sz w:val="32"/>
          <w:szCs w:val="32"/>
          <w:u w:val="none" w:color="auto"/>
          <w:lang w:eastAsia="zh-CN"/>
        </w:rPr>
        <w:t>《中华人民共和国食品安全法》第三十四条第（一）项“禁止生产经营下列食品、食品添加剂、食品相关产品：（一）用非食品原料生产的食品或者添加食品添加剂以外的化学物质和其他可能危害人体健康物质的食品，或者用回收食品作为原料生产的食品”的规定</w:t>
      </w:r>
      <w:r>
        <w:rPr>
          <w:rFonts w:hint="eastAsia" w:ascii="仿宋_GB2312" w:hAnsi="仿宋_GB2312" w:eastAsia="仿宋_GB2312" w:cs="仿宋_GB2312"/>
          <w:sz w:val="32"/>
          <w:szCs w:val="32"/>
          <w:u w:val="none" w:color="auto"/>
        </w:rPr>
        <w:t>。经计算，</w:t>
      </w:r>
      <w:r>
        <w:rPr>
          <w:rFonts w:hint="eastAsia" w:ascii="仿宋_GB2312" w:hAnsi="仿宋_GB2312" w:eastAsia="仿宋_GB2312" w:cs="仿宋_GB2312"/>
          <w:sz w:val="32"/>
          <w:szCs w:val="32"/>
          <w:u w:val="none" w:color="auto"/>
          <w:lang w:eastAsia="zh-CN"/>
        </w:rPr>
        <w:t>当事人违法所得为</w:t>
      </w:r>
      <w:r>
        <w:rPr>
          <w:rFonts w:hint="eastAsia" w:ascii="仿宋_GB2312" w:hAnsi="仿宋_GB2312" w:eastAsia="仿宋_GB2312" w:cs="仿宋_GB2312"/>
          <w:sz w:val="32"/>
          <w:szCs w:val="32"/>
          <w:u w:val="none" w:color="auto"/>
          <w:lang w:val="en-US" w:eastAsia="zh-CN"/>
        </w:rPr>
        <w:t>16*2-16*1=16元，总货值为32元</w:t>
      </w:r>
      <w:r>
        <w:rPr>
          <w:rFonts w:hint="eastAsia" w:ascii="仿宋_GB2312" w:hAnsi="仿宋_GB2312" w:eastAsia="仿宋_GB2312" w:cs="仿宋_GB2312"/>
          <w:sz w:val="32"/>
          <w:szCs w:val="32"/>
          <w:u w:val="none" w:color="auto"/>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u w:val="none" w:color="auto"/>
        </w:rPr>
      </w:pPr>
      <w:r>
        <w:rPr>
          <w:rFonts w:hint="eastAsia" w:ascii="仿宋_GB2312" w:hAnsi="仿宋_GB2312" w:eastAsia="仿宋_GB2312" w:cs="仿宋_GB2312"/>
          <w:sz w:val="32"/>
          <w:szCs w:val="32"/>
          <w:u w:val="none" w:color="auto"/>
        </w:rPr>
        <w:t>违法行为二：</w:t>
      </w:r>
      <w:r>
        <w:rPr>
          <w:rFonts w:hint="eastAsia" w:ascii="仿宋_GB2312" w:hAnsi="仿宋_GB2312" w:eastAsia="仿宋_GB2312" w:cs="仿宋_GB2312"/>
          <w:sz w:val="32"/>
          <w:szCs w:val="32"/>
          <w:u w:val="none" w:color="auto"/>
          <w:lang w:val="en-US" w:eastAsia="zh-CN"/>
        </w:rPr>
        <w:t>经营</w:t>
      </w:r>
      <w:r>
        <w:rPr>
          <w:rFonts w:hint="eastAsia" w:ascii="仿宋_GB2312" w:hAnsi="仿宋_GB2312" w:eastAsia="仿宋_GB2312" w:cs="仿宋_GB2312"/>
          <w:color w:val="231F20"/>
          <w:sz w:val="32"/>
          <w:szCs w:val="32"/>
          <w:u w:val="none" w:color="auto"/>
          <w:lang w:eastAsia="zh-CN"/>
        </w:rPr>
        <w:t>农药残留(水胺硫磷)含量超过食品安全标准限量的“白菜仔”。</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u w:val="none" w:color="auto"/>
        </w:rPr>
      </w:pPr>
      <w:r>
        <w:rPr>
          <w:rFonts w:hint="eastAsia" w:ascii="仿宋_GB2312" w:hAnsi="仿宋_GB2312" w:eastAsia="仿宋_GB2312" w:cs="仿宋_GB2312"/>
          <w:sz w:val="32"/>
          <w:szCs w:val="32"/>
          <w:u w:val="none" w:color="auto"/>
          <w:lang w:eastAsia="zh-CN"/>
        </w:rPr>
        <w:t>经查明，当事人于2019年</w:t>
      </w:r>
      <w:r>
        <w:rPr>
          <w:rFonts w:hint="eastAsia" w:ascii="仿宋_GB2312" w:hAnsi="仿宋_GB2312" w:eastAsia="仿宋_GB2312" w:cs="仿宋_GB2312"/>
          <w:sz w:val="32"/>
          <w:szCs w:val="32"/>
          <w:u w:val="none" w:color="auto"/>
          <w:lang w:val="en-US" w:eastAsia="zh-CN"/>
        </w:rPr>
        <w:t>8</w:t>
      </w:r>
      <w:r>
        <w:rPr>
          <w:rFonts w:hint="eastAsia" w:ascii="仿宋_GB2312" w:hAnsi="仿宋_GB2312" w:eastAsia="仿宋_GB2312" w:cs="仿宋_GB2312"/>
          <w:sz w:val="32"/>
          <w:szCs w:val="32"/>
          <w:u w:val="none" w:color="auto"/>
          <w:lang w:eastAsia="zh-CN"/>
        </w:rPr>
        <w:t>月</w:t>
      </w:r>
      <w:r>
        <w:rPr>
          <w:rFonts w:hint="eastAsia" w:ascii="仿宋_GB2312" w:hAnsi="仿宋_GB2312" w:eastAsia="仿宋_GB2312" w:cs="仿宋_GB2312"/>
          <w:sz w:val="32"/>
          <w:szCs w:val="32"/>
          <w:u w:val="none" w:color="auto"/>
          <w:lang w:val="en-US" w:eastAsia="zh-CN"/>
        </w:rPr>
        <w:t>28</w:t>
      </w:r>
      <w:r>
        <w:rPr>
          <w:rFonts w:hint="eastAsia" w:ascii="仿宋_GB2312" w:hAnsi="仿宋_GB2312" w:eastAsia="仿宋_GB2312" w:cs="仿宋_GB2312"/>
          <w:sz w:val="32"/>
          <w:szCs w:val="32"/>
          <w:u w:val="none" w:color="auto"/>
          <w:lang w:eastAsia="zh-CN"/>
        </w:rPr>
        <w:t>从文冲市场黄祖业处购进“白菜仔”</w:t>
      </w:r>
      <w:r>
        <w:rPr>
          <w:rFonts w:hint="eastAsia" w:ascii="仿宋_GB2312" w:hAnsi="仿宋_GB2312" w:eastAsia="仿宋_GB2312" w:cs="仿宋_GB2312"/>
          <w:sz w:val="32"/>
          <w:szCs w:val="32"/>
          <w:u w:val="none" w:color="auto"/>
          <w:lang w:val="en-US" w:eastAsia="zh-CN"/>
        </w:rPr>
        <w:t>8斤</w:t>
      </w:r>
      <w:r>
        <w:rPr>
          <w:rFonts w:hint="eastAsia" w:ascii="仿宋_GB2312" w:hAnsi="仿宋_GB2312" w:eastAsia="仿宋_GB2312" w:cs="仿宋_GB2312"/>
          <w:sz w:val="32"/>
          <w:szCs w:val="32"/>
          <w:u w:val="none" w:color="auto"/>
          <w:lang w:eastAsia="zh-CN"/>
        </w:rPr>
        <w:t>。“白菜仔”进货单价</w:t>
      </w:r>
      <w:r>
        <w:rPr>
          <w:rFonts w:hint="eastAsia" w:ascii="仿宋_GB2312" w:hAnsi="仿宋_GB2312" w:eastAsia="仿宋_GB2312" w:cs="仿宋_GB2312"/>
          <w:sz w:val="32"/>
          <w:szCs w:val="32"/>
          <w:u w:val="none" w:color="auto"/>
          <w:lang w:val="en-US" w:eastAsia="zh-CN"/>
        </w:rPr>
        <w:t>元/斤</w:t>
      </w:r>
      <w:r>
        <w:rPr>
          <w:rFonts w:hint="eastAsia" w:ascii="仿宋_GB2312" w:hAnsi="仿宋_GB2312" w:eastAsia="仿宋_GB2312" w:cs="仿宋_GB2312"/>
          <w:sz w:val="32"/>
          <w:szCs w:val="32"/>
          <w:u w:val="none" w:color="auto"/>
          <w:lang w:eastAsia="zh-CN"/>
        </w:rPr>
        <w:t>，销售单价</w:t>
      </w:r>
      <w:bookmarkStart w:id="0" w:name="_GoBack"/>
      <w:bookmarkEnd w:id="0"/>
      <w:r>
        <w:rPr>
          <w:rFonts w:hint="eastAsia" w:ascii="仿宋_GB2312" w:hAnsi="仿宋_GB2312" w:eastAsia="仿宋_GB2312" w:cs="仿宋_GB2312"/>
          <w:sz w:val="32"/>
          <w:szCs w:val="32"/>
          <w:u w:val="none" w:color="auto"/>
          <w:lang w:val="en-US" w:eastAsia="zh-CN"/>
        </w:rPr>
        <w:t>元/斤</w:t>
      </w:r>
      <w:r>
        <w:rPr>
          <w:rFonts w:hint="eastAsia" w:ascii="仿宋_GB2312" w:hAnsi="仿宋_GB2312" w:eastAsia="仿宋_GB2312" w:cs="仿宋_GB2312"/>
          <w:sz w:val="32"/>
          <w:szCs w:val="32"/>
          <w:u w:val="none" w:color="auto"/>
          <w:lang w:eastAsia="zh-CN"/>
        </w:rPr>
        <w:t>。截止执法人员2019年</w:t>
      </w:r>
      <w:r>
        <w:rPr>
          <w:rFonts w:hint="eastAsia" w:ascii="仿宋_GB2312" w:hAnsi="仿宋_GB2312" w:eastAsia="仿宋_GB2312" w:cs="仿宋_GB2312"/>
          <w:sz w:val="32"/>
          <w:szCs w:val="32"/>
          <w:u w:val="none" w:color="auto"/>
          <w:lang w:val="en-US" w:eastAsia="zh-CN"/>
        </w:rPr>
        <w:t>10</w:t>
      </w:r>
      <w:r>
        <w:rPr>
          <w:rFonts w:hint="eastAsia" w:ascii="仿宋_GB2312" w:hAnsi="仿宋_GB2312" w:eastAsia="仿宋_GB2312" w:cs="仿宋_GB2312"/>
          <w:sz w:val="32"/>
          <w:szCs w:val="32"/>
          <w:u w:val="none" w:color="auto"/>
          <w:lang w:eastAsia="zh-CN"/>
        </w:rPr>
        <w:t>月</w:t>
      </w:r>
      <w:r>
        <w:rPr>
          <w:rFonts w:hint="eastAsia" w:ascii="仿宋_GB2312" w:hAnsi="仿宋_GB2312" w:eastAsia="仿宋_GB2312" w:cs="仿宋_GB2312"/>
          <w:sz w:val="32"/>
          <w:szCs w:val="32"/>
          <w:u w:val="none" w:color="auto"/>
          <w:lang w:val="en-US" w:eastAsia="zh-CN"/>
        </w:rPr>
        <w:t>11</w:t>
      </w:r>
      <w:r>
        <w:rPr>
          <w:rFonts w:hint="eastAsia" w:ascii="仿宋_GB2312" w:hAnsi="仿宋_GB2312" w:eastAsia="仿宋_GB2312" w:cs="仿宋_GB2312"/>
          <w:sz w:val="32"/>
          <w:szCs w:val="32"/>
          <w:u w:val="none" w:color="auto"/>
          <w:lang w:eastAsia="zh-CN"/>
        </w:rPr>
        <w:t>日现场检查时，现场检查未发现有抽检不合格批次的“白菜仔”在售。</w:t>
      </w:r>
      <w:r>
        <w:rPr>
          <w:rFonts w:hint="eastAsia" w:ascii="仿宋_GB2312" w:hAnsi="仿宋_GB2312" w:eastAsia="仿宋_GB2312" w:cs="仿宋_GB2312"/>
          <w:color w:val="231F20"/>
          <w:sz w:val="32"/>
          <w:szCs w:val="32"/>
          <w:u w:val="none" w:color="auto"/>
          <w:lang w:eastAsia="zh-CN"/>
        </w:rPr>
        <w:t>经确认，涉案批次的“白菜仔”已全部销售完毕，</w:t>
      </w:r>
      <w:r>
        <w:rPr>
          <w:rFonts w:hint="eastAsia" w:ascii="仿宋_GB2312" w:hAnsi="仿宋_GB2312" w:eastAsia="仿宋_GB2312" w:cs="仿宋_GB2312"/>
          <w:sz w:val="32"/>
          <w:szCs w:val="32"/>
          <w:u w:val="none" w:color="auto"/>
          <w:lang w:eastAsia="zh-CN"/>
        </w:rPr>
        <w:t>当事人经营的</w:t>
      </w:r>
      <w:r>
        <w:rPr>
          <w:rFonts w:hint="eastAsia" w:ascii="仿宋_GB2312" w:hAnsi="仿宋_GB2312" w:eastAsia="仿宋_GB2312" w:cs="仿宋_GB2312"/>
          <w:color w:val="231F20"/>
          <w:sz w:val="32"/>
          <w:szCs w:val="32"/>
          <w:u w:val="none" w:color="auto"/>
          <w:lang w:eastAsia="zh-CN"/>
        </w:rPr>
        <w:t>“白菜仔”违法所得应以已涉案批次来认定，当事人销售农药残留(水胺硫磷)含量超过食品安全标准限量的“白菜仔”共</w:t>
      </w:r>
      <w:r>
        <w:rPr>
          <w:rFonts w:hint="eastAsia" w:ascii="仿宋_GB2312" w:hAnsi="仿宋_GB2312" w:eastAsia="仿宋_GB2312" w:cs="仿宋_GB2312"/>
          <w:color w:val="231F20"/>
          <w:sz w:val="32"/>
          <w:szCs w:val="32"/>
          <w:u w:val="none" w:color="auto"/>
          <w:lang w:val="en-US" w:eastAsia="zh-CN"/>
        </w:rPr>
        <w:t>8斤</w:t>
      </w:r>
      <w:r>
        <w:rPr>
          <w:rFonts w:hint="eastAsia" w:ascii="仿宋_GB2312" w:hAnsi="仿宋_GB2312" w:eastAsia="仿宋_GB2312" w:cs="仿宋_GB2312"/>
          <w:sz w:val="32"/>
          <w:szCs w:val="32"/>
          <w:u w:val="none" w:color="auto"/>
          <w:lang w:eastAsia="zh-CN"/>
        </w:rPr>
        <w:t>。</w:t>
      </w:r>
      <w:r>
        <w:rPr>
          <w:rFonts w:hint="eastAsia" w:ascii="仿宋_GB2312" w:hAnsi="仿宋_GB2312" w:eastAsia="仿宋_GB2312" w:cs="仿宋_GB2312"/>
          <w:color w:val="231F20"/>
          <w:sz w:val="32"/>
          <w:szCs w:val="32"/>
          <w:u w:val="none" w:color="auto"/>
          <w:lang w:eastAsia="zh-CN"/>
        </w:rPr>
        <w:t>当事人经营农药残留(水胺硫磷)含量超过食品安全标准限量的“白菜仔”的行为，违反了</w:t>
      </w:r>
      <w:r>
        <w:rPr>
          <w:rFonts w:hint="eastAsia" w:ascii="仿宋_GB2312" w:hAnsi="仿宋_GB2312" w:eastAsia="仿宋_GB2312" w:cs="仿宋_GB2312"/>
          <w:sz w:val="32"/>
          <w:szCs w:val="32"/>
          <w:u w:val="none" w:color="auto"/>
          <w:lang w:eastAsia="zh-CN"/>
        </w:rPr>
        <w:t>《中华人民共和国食品安全法》第三十四条第二项“禁止生产经营下列食品、食品添加剂、食品相关产品：（二）致病性微生物，农药残留、兽药残留、生物毒素、重金属等污染物质以及其他危害人体健康的物质含量超过食品安全标准限量的食品、食品添加剂、食品相关产品”的规定</w:t>
      </w:r>
      <w:r>
        <w:rPr>
          <w:rFonts w:hint="eastAsia" w:ascii="仿宋_GB2312" w:hAnsi="仿宋_GB2312" w:eastAsia="仿宋_GB2312" w:cs="仿宋_GB2312"/>
          <w:sz w:val="32"/>
          <w:szCs w:val="32"/>
          <w:u w:val="none" w:color="auto"/>
        </w:rPr>
        <w:t>。经计算，</w:t>
      </w:r>
      <w:r>
        <w:rPr>
          <w:rFonts w:hint="eastAsia" w:ascii="仿宋_GB2312" w:hAnsi="仿宋_GB2312" w:eastAsia="仿宋_GB2312" w:cs="仿宋_GB2312"/>
          <w:sz w:val="32"/>
          <w:szCs w:val="32"/>
          <w:u w:val="none" w:color="auto"/>
          <w:lang w:eastAsia="zh-CN"/>
        </w:rPr>
        <w:t>当事人违法所得为</w:t>
      </w:r>
      <w:r>
        <w:rPr>
          <w:rFonts w:hint="eastAsia" w:ascii="仿宋_GB2312" w:hAnsi="仿宋_GB2312" w:eastAsia="仿宋_GB2312" w:cs="仿宋_GB2312"/>
          <w:sz w:val="32"/>
          <w:szCs w:val="32"/>
          <w:u w:val="none" w:color="auto"/>
          <w:lang w:val="en-US" w:eastAsia="zh-CN"/>
        </w:rPr>
        <w:t>8*2.5-8*1.5=8元，总货值为20元</w:t>
      </w:r>
      <w:r>
        <w:rPr>
          <w:rFonts w:hint="eastAsia" w:ascii="仿宋_GB2312" w:hAnsi="仿宋_GB2312" w:eastAsia="仿宋_GB2312" w:cs="仿宋_GB2312"/>
          <w:sz w:val="32"/>
          <w:szCs w:val="32"/>
          <w:u w:val="none" w:color="auto"/>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u w:val="none" w:color="auto"/>
          <w:lang w:eastAsia="zh-CN"/>
        </w:rPr>
      </w:pPr>
      <w:r>
        <w:rPr>
          <w:rFonts w:hint="eastAsia" w:ascii="仿宋_GB2312" w:hAnsi="仿宋_GB2312" w:eastAsia="仿宋_GB2312" w:cs="仿宋_GB2312"/>
          <w:sz w:val="32"/>
          <w:szCs w:val="32"/>
          <w:u w:val="none" w:color="auto"/>
        </w:rPr>
        <w:t>上述事实，主要有以下证据证明</w:t>
      </w:r>
      <w:r>
        <w:rPr>
          <w:rFonts w:hint="eastAsia" w:ascii="仿宋_GB2312" w:hAnsi="仿宋_GB2312" w:eastAsia="仿宋_GB2312" w:cs="仿宋_GB2312"/>
          <w:sz w:val="32"/>
          <w:szCs w:val="32"/>
          <w:u w:val="none" w:color="auto"/>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highlight w:val="none"/>
          <w:u w:val="none" w:color="auto"/>
        </w:rPr>
      </w:pPr>
      <w:r>
        <w:rPr>
          <w:rFonts w:hint="eastAsia" w:ascii="仿宋_GB2312" w:hAnsi="仿宋_GB2312" w:eastAsia="仿宋_GB2312" w:cs="仿宋_GB2312"/>
          <w:sz w:val="32"/>
          <w:szCs w:val="32"/>
          <w:u w:val="none" w:color="auto"/>
          <w:lang w:val="en-US" w:eastAsia="zh-CN"/>
        </w:rPr>
        <w:t>1.</w:t>
      </w:r>
      <w:r>
        <w:rPr>
          <w:rFonts w:hint="eastAsia" w:ascii="仿宋_GB2312" w:hAnsi="仿宋_GB2312" w:eastAsia="仿宋_GB2312" w:cs="仿宋_GB2312"/>
          <w:sz w:val="32"/>
          <w:szCs w:val="32"/>
          <w:u w:val="none" w:color="auto"/>
          <w:lang w:eastAsia="zh-CN"/>
        </w:rPr>
        <w:t>当事人</w:t>
      </w:r>
      <w:r>
        <w:rPr>
          <w:rFonts w:hint="eastAsia" w:ascii="仿宋_GB2312" w:hAnsi="仿宋_GB2312" w:eastAsia="仿宋_GB2312" w:cs="仿宋_GB2312"/>
          <w:sz w:val="32"/>
          <w:szCs w:val="32"/>
          <w:highlight w:val="none"/>
          <w:u w:val="none" w:color="auto"/>
        </w:rPr>
        <w:t>的《营业执照》复印件1份；</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highlight w:val="none"/>
          <w:u w:val="none" w:color="auto"/>
        </w:rPr>
      </w:pPr>
      <w:r>
        <w:rPr>
          <w:rFonts w:hint="eastAsia" w:ascii="仿宋_GB2312" w:hAnsi="仿宋_GB2312" w:eastAsia="仿宋_GB2312" w:cs="仿宋_GB2312"/>
          <w:i w:val="0"/>
          <w:iCs/>
          <w:color w:val="231F20"/>
          <w:sz w:val="32"/>
          <w:szCs w:val="32"/>
          <w:highlight w:val="none"/>
          <w:u w:val="none" w:color="auto"/>
          <w:lang w:val="en-US" w:eastAsia="zh-CN"/>
        </w:rPr>
        <w:t>2.</w:t>
      </w:r>
      <w:r>
        <w:rPr>
          <w:rFonts w:hint="eastAsia" w:ascii="仿宋_GB2312" w:hAnsi="仿宋_GB2312" w:eastAsia="仿宋_GB2312" w:cs="仿宋_GB2312"/>
          <w:i w:val="0"/>
          <w:iCs/>
          <w:color w:val="231F20"/>
          <w:sz w:val="32"/>
          <w:szCs w:val="32"/>
          <w:highlight w:val="none"/>
          <w:u w:val="none" w:color="auto"/>
          <w:lang w:eastAsia="zh-CN"/>
        </w:rPr>
        <w:t>《现场检查笔录》</w:t>
      </w:r>
      <w:r>
        <w:rPr>
          <w:rFonts w:hint="eastAsia" w:ascii="仿宋_GB2312" w:hAnsi="仿宋_GB2312" w:eastAsia="仿宋_GB2312" w:cs="仿宋_GB2312"/>
          <w:i w:val="0"/>
          <w:iCs/>
          <w:color w:val="231F20"/>
          <w:sz w:val="32"/>
          <w:szCs w:val="32"/>
          <w:highlight w:val="none"/>
          <w:u w:val="none" w:color="auto"/>
          <w:lang w:val="en-US" w:eastAsia="zh-CN"/>
        </w:rPr>
        <w:t>1份；</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highlight w:val="none"/>
          <w:u w:val="none" w:color="auto"/>
        </w:rPr>
      </w:pPr>
      <w:r>
        <w:rPr>
          <w:rFonts w:hint="eastAsia" w:ascii="仿宋_GB2312" w:hAnsi="仿宋_GB2312" w:eastAsia="仿宋_GB2312" w:cs="仿宋_GB2312"/>
          <w:i w:val="0"/>
          <w:iCs/>
          <w:color w:val="231F20"/>
          <w:sz w:val="32"/>
          <w:szCs w:val="32"/>
          <w:highlight w:val="none"/>
          <w:u w:val="none" w:color="auto"/>
          <w:lang w:val="en-US" w:eastAsia="zh-CN"/>
        </w:rPr>
        <w:t>3.证据提取单2份；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highlight w:val="none"/>
          <w:u w:val="none" w:color="auto"/>
          <w:lang w:val="en-US" w:eastAsia="zh-CN"/>
        </w:rPr>
      </w:pPr>
      <w:r>
        <w:rPr>
          <w:rFonts w:hint="eastAsia" w:ascii="仿宋_GB2312" w:hAnsi="仿宋_GB2312" w:eastAsia="仿宋_GB2312" w:cs="仿宋_GB2312"/>
          <w:sz w:val="32"/>
          <w:szCs w:val="32"/>
          <w:highlight w:val="none"/>
          <w:u w:val="none" w:color="auto"/>
          <w:lang w:val="en-US" w:eastAsia="zh-CN"/>
        </w:rPr>
        <w:t>4.“黄豆芽”和“绿豆芽”</w:t>
      </w:r>
      <w:r>
        <w:rPr>
          <w:rFonts w:hint="eastAsia" w:ascii="仿宋_GB2312" w:hAnsi="仿宋_GB2312" w:eastAsia="仿宋_GB2312" w:cs="仿宋_GB2312"/>
          <w:sz w:val="32"/>
          <w:szCs w:val="32"/>
          <w:highlight w:val="none"/>
          <w:u w:val="none" w:color="auto"/>
          <w:lang w:eastAsia="zh-CN"/>
        </w:rPr>
        <w:t>供货商营业执照和收据各</w:t>
      </w:r>
      <w:r>
        <w:rPr>
          <w:rFonts w:hint="eastAsia" w:ascii="仿宋_GB2312" w:hAnsi="仿宋_GB2312" w:eastAsia="仿宋_GB2312" w:cs="仿宋_GB2312"/>
          <w:sz w:val="32"/>
          <w:szCs w:val="32"/>
          <w:highlight w:val="none"/>
          <w:u w:val="none" w:color="auto"/>
          <w:lang w:val="en-US" w:eastAsia="zh-CN"/>
        </w:rPr>
        <w:t>1份，“白菜仔”供货商营业执照和收据各1份；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highlight w:val="none"/>
          <w:u w:val="none" w:color="auto"/>
          <w:lang w:eastAsia="zh-CN"/>
        </w:rPr>
      </w:pPr>
      <w:r>
        <w:rPr>
          <w:rFonts w:hint="eastAsia" w:ascii="仿宋_GB2312" w:hAnsi="仿宋_GB2312" w:eastAsia="仿宋_GB2312" w:cs="仿宋_GB2312"/>
          <w:sz w:val="32"/>
          <w:szCs w:val="32"/>
          <w:highlight w:val="none"/>
          <w:u w:val="none" w:color="auto"/>
          <w:lang w:val="en-US" w:eastAsia="zh-CN"/>
        </w:rPr>
        <w:t>5.</w:t>
      </w:r>
      <w:r>
        <w:rPr>
          <w:rFonts w:hint="eastAsia" w:ascii="仿宋_GB2312" w:hAnsi="仿宋_GB2312" w:eastAsia="仿宋_GB2312" w:cs="仿宋_GB2312"/>
          <w:sz w:val="32"/>
          <w:szCs w:val="32"/>
          <w:highlight w:val="none"/>
          <w:u w:val="none" w:color="auto"/>
        </w:rPr>
        <w:t>《询问调查笔录》1份</w:t>
      </w:r>
      <w:r>
        <w:rPr>
          <w:rFonts w:hint="eastAsia" w:ascii="仿宋_GB2312" w:hAnsi="仿宋_GB2312" w:eastAsia="仿宋_GB2312" w:cs="仿宋_GB2312"/>
          <w:sz w:val="32"/>
          <w:szCs w:val="32"/>
          <w:highlight w:val="none"/>
          <w:u w:val="none" w:color="auto"/>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highlight w:val="none"/>
          <w:u w:val="none" w:color="auto"/>
          <w:lang w:eastAsia="zh-CN"/>
        </w:rPr>
      </w:pPr>
      <w:r>
        <w:rPr>
          <w:rFonts w:hint="eastAsia" w:ascii="仿宋_GB2312" w:hAnsi="仿宋_GB2312" w:eastAsia="仿宋_GB2312" w:cs="仿宋_GB2312"/>
          <w:color w:val="231F20"/>
          <w:sz w:val="32"/>
          <w:szCs w:val="32"/>
          <w:highlight w:val="none"/>
          <w:u w:val="none" w:color="auto"/>
          <w:lang w:val="en-US" w:eastAsia="zh-CN"/>
        </w:rPr>
        <w:t>6.</w:t>
      </w:r>
      <w:r>
        <w:rPr>
          <w:rFonts w:hint="eastAsia" w:ascii="仿宋_GB2312" w:hAnsi="仿宋_GB2312" w:eastAsia="仿宋_GB2312" w:cs="仿宋_GB2312"/>
          <w:sz w:val="32"/>
          <w:szCs w:val="32"/>
          <w:u w:val="none" w:color="auto"/>
          <w:lang w:eastAsia="zh-CN"/>
        </w:rPr>
        <w:t>《检验报告》（NO：食监2019-08-4009）、《检验报告》（NO：食监2019-08-4008）和《检验报告》（NO：食监2019-08-4011）各</w:t>
      </w:r>
      <w:r>
        <w:rPr>
          <w:rFonts w:hint="eastAsia" w:ascii="仿宋_GB2312" w:hAnsi="仿宋_GB2312" w:eastAsia="仿宋_GB2312" w:cs="仿宋_GB2312"/>
          <w:sz w:val="32"/>
          <w:szCs w:val="32"/>
          <w:u w:val="none" w:color="auto"/>
          <w:lang w:val="en-US" w:eastAsia="zh-CN"/>
        </w:rPr>
        <w:t>1份</w:t>
      </w:r>
      <w:r>
        <w:rPr>
          <w:rFonts w:hint="eastAsia" w:ascii="仿宋_GB2312" w:hAnsi="仿宋_GB2312" w:eastAsia="仿宋_GB2312" w:cs="仿宋_GB2312"/>
          <w:color w:val="231F20"/>
          <w:sz w:val="32"/>
          <w:szCs w:val="32"/>
          <w:highlight w:val="none"/>
          <w:u w:val="none" w:color="auto"/>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highlight w:val="none"/>
          <w:u w:val="none" w:color="auto"/>
          <w:lang w:val="en-US" w:eastAsia="zh-CN"/>
        </w:rPr>
      </w:pPr>
      <w:r>
        <w:rPr>
          <w:rFonts w:hint="eastAsia" w:ascii="仿宋_GB2312" w:hAnsi="仿宋_GB2312" w:eastAsia="仿宋_GB2312" w:cs="仿宋_GB2312"/>
          <w:sz w:val="32"/>
          <w:szCs w:val="32"/>
          <w:highlight w:val="none"/>
          <w:u w:val="none" w:color="auto"/>
          <w:lang w:val="en-US" w:eastAsia="zh-CN"/>
        </w:rPr>
        <w:t>7.</w:t>
      </w:r>
      <w:r>
        <w:rPr>
          <w:rFonts w:hint="eastAsia" w:ascii="仿宋_GB2312" w:hAnsi="仿宋_GB2312" w:eastAsia="仿宋_GB2312" w:cs="仿宋_GB2312"/>
          <w:sz w:val="32"/>
          <w:szCs w:val="32"/>
          <w:u w:val="none" w:color="auto"/>
          <w:lang w:eastAsia="zh-CN"/>
        </w:rPr>
        <w:t>当事人</w:t>
      </w:r>
      <w:r>
        <w:rPr>
          <w:rFonts w:hint="eastAsia" w:ascii="仿宋_GB2312" w:hAnsi="仿宋_GB2312" w:eastAsia="仿宋_GB2312" w:cs="仿宋_GB2312"/>
          <w:sz w:val="32"/>
          <w:szCs w:val="32"/>
          <w:highlight w:val="none"/>
          <w:u w:val="none" w:color="auto"/>
          <w:lang w:val="en-US" w:eastAsia="zh-CN"/>
        </w:rPr>
        <w:t>身份证复印件1份。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highlight w:val="yellow"/>
          <w:u w:val="none" w:color="auto"/>
          <w:lang w:eastAsia="zh-CN"/>
        </w:rPr>
      </w:pPr>
      <w:r>
        <w:rPr>
          <w:rFonts w:hint="eastAsia" w:ascii="仿宋_GB2312" w:hAnsi="仿宋_GB2312" w:eastAsia="仿宋_GB2312" w:cs="仿宋_GB2312"/>
          <w:sz w:val="32"/>
          <w:szCs w:val="32"/>
          <w:highlight w:val="none"/>
          <w:u w:val="none" w:color="auto"/>
          <w:lang w:eastAsia="zh-CN"/>
        </w:rPr>
        <w:t>我局于</w:t>
      </w:r>
      <w:r>
        <w:rPr>
          <w:rFonts w:hint="eastAsia" w:ascii="仿宋_GB2312" w:hAnsi="仿宋_GB2312" w:eastAsia="仿宋_GB2312" w:cs="仿宋_GB2312"/>
          <w:sz w:val="32"/>
          <w:szCs w:val="32"/>
          <w:highlight w:val="none"/>
          <w:u w:val="none" w:color="auto"/>
          <w:lang w:val="en-US" w:eastAsia="zh-CN"/>
        </w:rPr>
        <w:t>2019年12</w:t>
      </w:r>
      <w:r>
        <w:rPr>
          <w:rFonts w:hint="eastAsia" w:ascii="仿宋_GB2312" w:hAnsi="仿宋_GB2312" w:eastAsia="仿宋_GB2312" w:cs="仿宋_GB2312"/>
          <w:sz w:val="32"/>
          <w:szCs w:val="32"/>
          <w:u w:val="none" w:color="auto"/>
          <w:lang w:val="en-US" w:eastAsia="zh-CN"/>
        </w:rPr>
        <w:t>月19日</w:t>
      </w:r>
      <w:r>
        <w:rPr>
          <w:rFonts w:hint="eastAsia" w:ascii="仿宋_GB2312" w:hAnsi="仿宋_GB2312" w:eastAsia="仿宋_GB2312" w:cs="仿宋_GB2312"/>
          <w:sz w:val="32"/>
          <w:szCs w:val="32"/>
          <w:highlight w:val="none"/>
          <w:u w:val="none" w:color="auto"/>
          <w:lang w:val="en-US" w:eastAsia="zh-CN"/>
        </w:rPr>
        <w:t>向</w:t>
      </w:r>
      <w:r>
        <w:rPr>
          <w:rFonts w:hint="eastAsia" w:ascii="仿宋_GB2312" w:hAnsi="仿宋_GB2312" w:eastAsia="仿宋_GB2312" w:cs="仿宋_GB2312"/>
          <w:sz w:val="32"/>
          <w:szCs w:val="32"/>
          <w:u w:val="none" w:color="auto"/>
          <w:lang w:eastAsia="zh-CN"/>
        </w:rPr>
        <w:t>当事人</w:t>
      </w:r>
      <w:r>
        <w:rPr>
          <w:rFonts w:hint="eastAsia" w:ascii="仿宋_GB2312" w:hAnsi="仿宋_GB2312" w:eastAsia="仿宋_GB2312" w:cs="仿宋_GB2312"/>
          <w:sz w:val="32"/>
          <w:szCs w:val="32"/>
          <w:highlight w:val="none"/>
          <w:u w:val="none" w:color="auto"/>
          <w:lang w:val="en-US" w:eastAsia="zh-CN"/>
        </w:rPr>
        <w:t>送达《行政处罚听证告知书》</w:t>
      </w:r>
      <w:r>
        <w:rPr>
          <w:rFonts w:hint="eastAsia" w:ascii="仿宋_GB2312" w:hAnsi="仿宋_GB2312" w:eastAsia="仿宋_GB2312" w:cs="仿宋_GB2312"/>
          <w:sz w:val="32"/>
          <w:szCs w:val="32"/>
          <w:u w:val="none" w:color="auto"/>
          <w:lang w:val="en-US" w:eastAsia="zh-CN"/>
        </w:rPr>
        <w:t>（穗埔市监红山处告字〔2019〕4号），</w:t>
      </w:r>
      <w:r>
        <w:rPr>
          <w:rFonts w:hint="eastAsia" w:ascii="仿宋_GB2312" w:hAnsi="仿宋_GB2312" w:eastAsia="仿宋_GB2312" w:cs="仿宋_GB2312"/>
          <w:sz w:val="32"/>
          <w:szCs w:val="32"/>
          <w:u w:val="none" w:color="auto"/>
          <w:lang w:eastAsia="zh-CN"/>
        </w:rPr>
        <w:t>当事人</w:t>
      </w:r>
      <w:r>
        <w:rPr>
          <w:rFonts w:hint="eastAsia" w:ascii="仿宋_GB2312" w:hAnsi="仿宋_GB2312" w:eastAsia="仿宋_GB2312" w:cs="仿宋_GB2312"/>
          <w:color w:val="231F20"/>
          <w:spacing w:val="-6"/>
          <w:sz w:val="32"/>
          <w:szCs w:val="32"/>
          <w:u w:val="none" w:color="auto"/>
        </w:rPr>
        <w:t>自收到本告知书之日起三个工作日内，未行使陈</w:t>
      </w:r>
      <w:r>
        <w:rPr>
          <w:rFonts w:hint="eastAsia" w:ascii="仿宋_GB2312" w:hAnsi="仿宋_GB2312" w:eastAsia="仿宋_GB2312" w:cs="仿宋_GB2312"/>
          <w:color w:val="231F20"/>
          <w:spacing w:val="-18"/>
          <w:sz w:val="32"/>
          <w:szCs w:val="32"/>
          <w:u w:val="none" w:color="auto"/>
        </w:rPr>
        <w:t>述、申辩权</w:t>
      </w:r>
      <w:r>
        <w:rPr>
          <w:rFonts w:hint="eastAsia" w:ascii="仿宋_GB2312" w:hAnsi="仿宋_GB2312" w:eastAsia="仿宋_GB2312" w:cs="仿宋_GB2312"/>
          <w:color w:val="231F20"/>
          <w:spacing w:val="-18"/>
          <w:sz w:val="32"/>
          <w:szCs w:val="32"/>
          <w:u w:val="none" w:color="auto"/>
          <w:lang w:eastAsia="zh-CN"/>
        </w:rPr>
        <w:t>，未要求举行听证</w:t>
      </w:r>
      <w:r>
        <w:rPr>
          <w:rFonts w:hint="eastAsia" w:ascii="仿宋_GB2312" w:hAnsi="仿宋_GB2312" w:eastAsia="仿宋_GB2312" w:cs="仿宋_GB2312"/>
          <w:color w:val="231F20"/>
          <w:spacing w:val="-18"/>
          <w:sz w:val="32"/>
          <w:szCs w:val="32"/>
          <w:u w:val="none" w:color="auto"/>
        </w:rPr>
        <w:t>的，</w:t>
      </w:r>
      <w:r>
        <w:rPr>
          <w:rFonts w:hint="eastAsia" w:ascii="仿宋_GB2312" w:hAnsi="仿宋_GB2312" w:eastAsia="仿宋_GB2312" w:cs="仿宋_GB2312"/>
          <w:color w:val="231F20"/>
          <w:spacing w:val="-18"/>
          <w:sz w:val="32"/>
          <w:szCs w:val="32"/>
          <w:u w:val="none" w:color="auto"/>
          <w:lang w:eastAsia="zh-CN"/>
        </w:rPr>
        <w:t>我局</w:t>
      </w:r>
      <w:r>
        <w:rPr>
          <w:rFonts w:hint="eastAsia" w:ascii="仿宋_GB2312" w:hAnsi="仿宋_GB2312" w:eastAsia="仿宋_GB2312" w:cs="仿宋_GB2312"/>
          <w:color w:val="231F20"/>
          <w:spacing w:val="-18"/>
          <w:sz w:val="32"/>
          <w:szCs w:val="32"/>
          <w:u w:val="none" w:color="auto"/>
        </w:rPr>
        <w:t>视</w:t>
      </w:r>
      <w:r>
        <w:rPr>
          <w:rFonts w:hint="eastAsia" w:ascii="仿宋_GB2312" w:hAnsi="仿宋_GB2312" w:eastAsia="仿宋_GB2312" w:cs="仿宋_GB2312"/>
          <w:color w:val="231F20"/>
          <w:spacing w:val="-18"/>
          <w:sz w:val="32"/>
          <w:szCs w:val="32"/>
          <w:u w:val="none" w:color="auto"/>
          <w:lang w:eastAsia="zh-CN"/>
        </w:rPr>
        <w:t>为</w:t>
      </w:r>
      <w:r>
        <w:rPr>
          <w:rFonts w:hint="eastAsia" w:ascii="仿宋_GB2312" w:hAnsi="仿宋_GB2312" w:eastAsia="仿宋_GB2312" w:cs="仿宋_GB2312"/>
          <w:sz w:val="32"/>
          <w:szCs w:val="32"/>
          <w:u w:val="none" w:color="auto"/>
          <w:lang w:eastAsia="zh-CN"/>
        </w:rPr>
        <w:t>当事人</w:t>
      </w:r>
      <w:r>
        <w:rPr>
          <w:rFonts w:hint="eastAsia" w:ascii="仿宋_GB2312" w:hAnsi="仿宋_GB2312" w:eastAsia="仿宋_GB2312" w:cs="仿宋_GB2312"/>
          <w:color w:val="231F20"/>
          <w:spacing w:val="-18"/>
          <w:sz w:val="32"/>
          <w:szCs w:val="32"/>
          <w:u w:val="none" w:color="auto"/>
        </w:rPr>
        <w:t>放弃此</w:t>
      </w:r>
      <w:r>
        <w:rPr>
          <w:rFonts w:hint="eastAsia" w:ascii="仿宋_GB2312" w:hAnsi="仿宋_GB2312" w:eastAsia="仿宋_GB2312" w:cs="仿宋_GB2312"/>
          <w:color w:val="231F20"/>
          <w:spacing w:val="-155"/>
          <w:sz w:val="32"/>
          <w:szCs w:val="32"/>
          <w:u w:val="none" w:color="auto"/>
        </w:rPr>
        <w:t xml:space="preserve"> </w:t>
      </w:r>
      <w:r>
        <w:rPr>
          <w:rFonts w:hint="eastAsia" w:ascii="仿宋_GB2312" w:hAnsi="仿宋_GB2312" w:eastAsia="仿宋_GB2312" w:cs="仿宋_GB2312"/>
          <w:color w:val="231F20"/>
          <w:sz w:val="32"/>
          <w:szCs w:val="32"/>
          <w:u w:val="none" w:color="auto"/>
        </w:rPr>
        <w:t>权利</w:t>
      </w:r>
      <w:r>
        <w:rPr>
          <w:rFonts w:hint="eastAsia" w:ascii="仿宋_GB2312" w:hAnsi="仿宋_GB2312" w:eastAsia="仿宋_GB2312" w:cs="仿宋_GB2312"/>
          <w:color w:val="231F20"/>
          <w:sz w:val="32"/>
          <w:szCs w:val="32"/>
          <w:u w:val="none" w:color="auto"/>
          <w:lang w:eastAsia="zh-CN"/>
        </w:rPr>
        <w:t>。</w:t>
      </w:r>
    </w:p>
    <w:p>
      <w:pPr>
        <w:spacing w:before="1"/>
        <w:ind w:firstLine="643" w:firstLineChars="200"/>
        <w:rPr>
          <w:rFonts w:hint="eastAsia" w:ascii="仿宋_GB2312" w:hAnsi="仿宋_GB2312" w:eastAsia="仿宋_GB2312" w:cs="仿宋_GB2312"/>
          <w:color w:val="231F20"/>
          <w:sz w:val="32"/>
          <w:szCs w:val="32"/>
          <w:u w:val="none" w:color="auto"/>
          <w:lang w:eastAsia="zh-CN"/>
        </w:rPr>
      </w:pPr>
      <w:r>
        <w:rPr>
          <w:rFonts w:hint="eastAsia" w:ascii="仿宋_GB2312" w:hAnsi="仿宋_GB2312" w:eastAsia="仿宋_GB2312" w:cs="仿宋_GB2312"/>
          <w:b/>
          <w:bCs/>
          <w:sz w:val="32"/>
          <w:szCs w:val="32"/>
          <w:u w:val="none" w:color="auto"/>
          <w:lang w:eastAsia="zh-CN"/>
        </w:rPr>
        <w:t>处罚意见及依据：</w:t>
      </w:r>
      <w:r>
        <w:rPr>
          <w:rFonts w:hint="eastAsia" w:ascii="仿宋_GB2312" w:hAnsi="仿宋_GB2312" w:eastAsia="仿宋_GB2312" w:cs="仿宋_GB2312"/>
          <w:color w:val="231F20"/>
          <w:sz w:val="32"/>
          <w:szCs w:val="32"/>
          <w:u w:val="none" w:color="auto"/>
          <w:lang w:eastAsia="zh-CN"/>
        </w:rPr>
        <w:t>当事人经营“黄豆芽”和“绿豆芽”中含有4-氯苯氧乙酸钠物质并非国家标准中规定的可使用农药，而是国家禁止使用的化学物质。当事人经营“白菜仔”中的水胺硫磷是GB 2763-2016《食品安全国家标准 食品中农药最大残留限量》中规定的可使用的农药，但涉案食品超过了残留限量。两者危害性质并不相同，国家对两者的限制程度也并不相同。</w:t>
      </w:r>
    </w:p>
    <w:p>
      <w:pPr>
        <w:spacing w:before="1"/>
        <w:ind w:firstLine="640" w:firstLineChars="200"/>
        <w:rPr>
          <w:rFonts w:hint="eastAsia" w:ascii="仿宋_GB2312" w:hAnsi="仿宋_GB2312" w:eastAsia="仿宋_GB2312" w:cs="仿宋_GB2312"/>
          <w:sz w:val="32"/>
          <w:szCs w:val="32"/>
          <w:u w:val="none" w:color="auto"/>
          <w:lang w:eastAsia="zh-CN"/>
        </w:rPr>
      </w:pPr>
      <w:r>
        <w:rPr>
          <w:rFonts w:hint="eastAsia" w:ascii="仿宋_GB2312" w:hAnsi="仿宋_GB2312" w:eastAsia="仿宋_GB2312" w:cs="仿宋_GB2312"/>
          <w:color w:val="231F20"/>
          <w:sz w:val="32"/>
          <w:szCs w:val="32"/>
          <w:u w:val="none" w:color="auto"/>
          <w:lang w:eastAsia="zh-CN"/>
        </w:rPr>
        <w:t>违法行为一：当事人</w:t>
      </w:r>
      <w:r>
        <w:rPr>
          <w:rFonts w:hint="eastAsia" w:ascii="仿宋_GB2312" w:hAnsi="仿宋_GB2312" w:eastAsia="仿宋_GB2312" w:cs="仿宋_GB2312"/>
          <w:sz w:val="32"/>
          <w:szCs w:val="32"/>
          <w:u w:val="none" w:color="auto"/>
          <w:lang w:eastAsia="zh-CN"/>
        </w:rPr>
        <w:t>经营含禁用农药4-氯苯氧乙酸钠物质的“黄豆芽”和“绿豆芽”</w:t>
      </w:r>
      <w:r>
        <w:rPr>
          <w:rFonts w:hint="eastAsia" w:ascii="仿宋_GB2312" w:hAnsi="仿宋_GB2312" w:eastAsia="仿宋_GB2312" w:cs="仿宋_GB2312"/>
          <w:color w:val="231F20"/>
          <w:sz w:val="32"/>
          <w:szCs w:val="32"/>
          <w:u w:val="none" w:color="auto"/>
          <w:lang w:eastAsia="zh-CN"/>
        </w:rPr>
        <w:t>违法所得为</w:t>
      </w:r>
      <w:r>
        <w:rPr>
          <w:rFonts w:hint="eastAsia" w:ascii="仿宋_GB2312" w:hAnsi="仿宋_GB2312" w:eastAsia="仿宋_GB2312" w:cs="仿宋_GB2312"/>
          <w:color w:val="231F20"/>
          <w:sz w:val="32"/>
          <w:szCs w:val="32"/>
          <w:u w:val="none" w:color="auto"/>
          <w:lang w:val="en-US" w:eastAsia="zh-CN"/>
        </w:rPr>
        <w:t>16元，货值金额为32元，货值金额不足一万元。根据</w:t>
      </w:r>
      <w:r>
        <w:rPr>
          <w:rFonts w:hint="eastAsia" w:ascii="仿宋_GB2312" w:hAnsi="仿宋_GB2312" w:eastAsia="仿宋_GB2312" w:cs="仿宋_GB2312"/>
          <w:sz w:val="32"/>
          <w:szCs w:val="32"/>
          <w:u w:val="none" w:color="auto"/>
          <w:lang w:eastAsia="zh-CN"/>
        </w:rPr>
        <w:t>《中华人民共和国食品安全法》第一百二十三条第一款第（一）项“违反本法规定，有下列情形之一，尚不构成犯罪的，由县级以上人民政府食品安全监督管理部门没收违法所得和违法生产经营的食品，并可以没收用于违法生产经营的工具、设备、原料等物品；违法生产经营的食品货值金额不足一万元的，并处十万元以上十五万元以下罚款；（一）用非食品原料生产食品、在食品中添加食品添加剂以外的化学物质和其他可能危害人体健康的物质，或者用回收食品作为原料生产食品，或者经营上述食品；”的规定，</w:t>
      </w:r>
      <w:r>
        <w:rPr>
          <w:rFonts w:hint="eastAsia" w:ascii="仿宋_GB2312" w:hAnsi="仿宋_GB2312" w:eastAsia="仿宋_GB2312" w:cs="仿宋_GB2312"/>
          <w:color w:val="231F20"/>
          <w:sz w:val="32"/>
          <w:szCs w:val="32"/>
          <w:highlight w:val="none"/>
          <w:u w:val="none" w:color="auto"/>
          <w:lang w:eastAsia="zh-CN"/>
        </w:rPr>
        <w:t>由于现场检查时并无发现“黄豆芽”和“绿豆芽”</w:t>
      </w:r>
      <w:r>
        <w:rPr>
          <w:rFonts w:hint="eastAsia" w:ascii="仿宋_GB2312" w:hAnsi="仿宋_GB2312" w:eastAsia="仿宋_GB2312" w:cs="仿宋_GB2312"/>
          <w:color w:val="231F20"/>
          <w:sz w:val="32"/>
          <w:szCs w:val="32"/>
          <w:u w:val="none" w:color="auto"/>
          <w:lang w:val="en-US" w:eastAsia="zh-CN"/>
        </w:rPr>
        <w:t>，无需没收违法经营的食品，因此，</w:t>
      </w:r>
      <w:r>
        <w:rPr>
          <w:rFonts w:hint="eastAsia" w:ascii="仿宋_GB2312" w:hAnsi="仿宋_GB2312" w:eastAsia="仿宋_GB2312" w:cs="仿宋_GB2312"/>
          <w:color w:val="231F20"/>
          <w:sz w:val="32"/>
          <w:szCs w:val="32"/>
          <w:highlight w:val="none"/>
          <w:u w:val="none" w:color="auto"/>
          <w:lang w:eastAsia="zh-CN"/>
        </w:rPr>
        <w:t>应当没收当事人违法所得并处</w:t>
      </w:r>
      <w:r>
        <w:rPr>
          <w:rFonts w:hint="eastAsia" w:ascii="仿宋_GB2312" w:hAnsi="仿宋_GB2312" w:eastAsia="仿宋_GB2312" w:cs="仿宋_GB2312"/>
          <w:sz w:val="32"/>
          <w:szCs w:val="32"/>
          <w:u w:val="none" w:color="auto"/>
          <w:lang w:eastAsia="zh-CN"/>
        </w:rPr>
        <w:t>十万元以上十五万元以下罚款</w:t>
      </w:r>
      <w:r>
        <w:rPr>
          <w:rFonts w:hint="eastAsia" w:ascii="仿宋_GB2312" w:hAnsi="仿宋_GB2312" w:eastAsia="仿宋_GB2312" w:cs="仿宋_GB2312"/>
          <w:color w:val="231F20"/>
          <w:sz w:val="32"/>
          <w:szCs w:val="32"/>
          <w:highlight w:val="none"/>
          <w:u w:val="none" w:color="auto"/>
          <w:lang w:eastAsia="zh-CN"/>
        </w:rPr>
        <w:t>。</w:t>
      </w:r>
      <w:r>
        <w:rPr>
          <w:rFonts w:hint="eastAsia" w:ascii="仿宋_GB2312" w:hAnsi="仿宋_GB2312" w:eastAsia="仿宋_GB2312" w:cs="仿宋_GB2312"/>
          <w:color w:val="231F20"/>
          <w:sz w:val="32"/>
          <w:szCs w:val="32"/>
          <w:u w:val="none" w:color="auto"/>
          <w:lang w:eastAsia="zh-CN"/>
        </w:rPr>
        <w:t>鉴于当事人</w:t>
      </w:r>
      <w:r>
        <w:rPr>
          <w:rFonts w:hint="eastAsia" w:ascii="仿宋_GB2312" w:hAnsi="仿宋_GB2312" w:eastAsia="仿宋_GB2312" w:cs="仿宋_GB2312"/>
          <w:sz w:val="32"/>
          <w:szCs w:val="32"/>
          <w:u w:val="none" w:color="auto"/>
          <w:lang w:eastAsia="zh-CN"/>
        </w:rPr>
        <w:t>经营含禁用农药4-氯苯氧乙酸钠物质的“黄豆芽”和“绿豆芽”是肉眼无法判断，属于非经检测不能得知，难以发现该农产品是否存在食品中使用了“4-氯苯氧乙酸钠”禁止使用的物质，并无主观恶意，在得知其抽检不合格的情况下积极配合执法人员调查</w:t>
      </w:r>
      <w:r>
        <w:rPr>
          <w:rFonts w:hint="eastAsia" w:ascii="仿宋_GB2312" w:hAnsi="仿宋_GB2312" w:eastAsia="仿宋_GB2312" w:cs="仿宋_GB2312"/>
          <w:color w:val="231F20"/>
          <w:sz w:val="32"/>
          <w:szCs w:val="32"/>
          <w:u w:val="none" w:color="auto"/>
          <w:lang w:eastAsia="zh-CN"/>
        </w:rPr>
        <w:t>；且当事人如实说明其进货来源，货值金额不多，违法所得少，危害后果较为轻微，至今未接到相关不良反应报告。符合《中华人民共和国行政处罚法》第二十七条第一款第（四）项：“当事人有下列情形之一的，应当依法从轻或者减轻行政处罚：……（四）其他依法从轻或者减轻行政处罚的”</w:t>
      </w:r>
      <w:r>
        <w:rPr>
          <w:rFonts w:hint="eastAsia" w:ascii="仿宋_GB2312" w:hAnsi="仿宋_GB2312" w:eastAsia="仿宋_GB2312" w:cs="仿宋_GB2312"/>
          <w:sz w:val="32"/>
          <w:szCs w:val="32"/>
          <w:u w:val="none" w:color="auto"/>
          <w:lang w:eastAsia="zh-CN"/>
        </w:rPr>
        <w:t>。建议对当事人没收违法</w:t>
      </w:r>
      <w:r>
        <w:rPr>
          <w:rFonts w:hint="eastAsia" w:ascii="仿宋_GB2312" w:hAnsi="仿宋_GB2312" w:eastAsia="仿宋_GB2312" w:cs="仿宋_GB2312"/>
          <w:sz w:val="32"/>
          <w:szCs w:val="32"/>
          <w:u w:val="none" w:color="auto"/>
          <w:lang w:val="en-US" w:eastAsia="zh-CN"/>
        </w:rPr>
        <w:t>16元，对</w:t>
      </w:r>
      <w:r>
        <w:rPr>
          <w:rFonts w:hint="eastAsia" w:ascii="仿宋_GB2312" w:hAnsi="仿宋_GB2312" w:eastAsia="仿宋_GB2312" w:cs="仿宋_GB2312"/>
          <w:sz w:val="32"/>
          <w:szCs w:val="32"/>
          <w:u w:val="none" w:color="auto"/>
          <w:lang w:eastAsia="zh-CN"/>
        </w:rPr>
        <w:t>经营含禁用农药4-氯苯氧乙酸钠物质的“黄豆芽”和“绿豆芽”的行为减轻作出行政处罚，罚款</w:t>
      </w:r>
      <w:r>
        <w:rPr>
          <w:rFonts w:hint="eastAsia" w:ascii="仿宋_GB2312" w:hAnsi="仿宋_GB2312" w:eastAsia="仿宋_GB2312" w:cs="仿宋_GB2312"/>
          <w:sz w:val="32"/>
          <w:szCs w:val="32"/>
          <w:u w:val="none" w:color="auto"/>
          <w:lang w:val="en-US" w:eastAsia="zh-CN"/>
        </w:rPr>
        <w:t>2</w:t>
      </w:r>
      <w:r>
        <w:rPr>
          <w:rFonts w:hint="eastAsia" w:ascii="仿宋_GB2312" w:hAnsi="仿宋_GB2312" w:eastAsia="仿宋_GB2312" w:cs="仿宋_GB2312"/>
          <w:sz w:val="32"/>
          <w:szCs w:val="32"/>
          <w:u w:val="none" w:color="auto"/>
          <w:lang w:eastAsia="zh-CN"/>
        </w:rPr>
        <w:t>000元。</w:t>
      </w:r>
    </w:p>
    <w:p>
      <w:pPr>
        <w:spacing w:before="1"/>
        <w:ind w:firstLine="640" w:firstLineChars="200"/>
        <w:rPr>
          <w:rFonts w:hint="eastAsia" w:ascii="仿宋_GB2312" w:hAnsi="仿宋_GB2312" w:eastAsia="仿宋_GB2312" w:cs="仿宋_GB2312"/>
          <w:sz w:val="32"/>
          <w:szCs w:val="32"/>
          <w:u w:val="none" w:color="auto"/>
          <w:lang w:eastAsia="zh-CN"/>
        </w:rPr>
      </w:pPr>
      <w:r>
        <w:rPr>
          <w:rFonts w:hint="eastAsia" w:ascii="仿宋_GB2312" w:hAnsi="仿宋_GB2312" w:eastAsia="仿宋_GB2312" w:cs="仿宋_GB2312"/>
          <w:sz w:val="32"/>
          <w:szCs w:val="32"/>
          <w:u w:val="none" w:color="auto"/>
          <w:lang w:val="en-US" w:eastAsia="zh-CN"/>
        </w:rPr>
        <w:t>违法行为二：当事人</w:t>
      </w:r>
      <w:r>
        <w:rPr>
          <w:rFonts w:hint="eastAsia" w:ascii="仿宋_GB2312" w:hAnsi="仿宋_GB2312" w:eastAsia="仿宋_GB2312" w:cs="仿宋_GB2312"/>
          <w:sz w:val="32"/>
          <w:szCs w:val="32"/>
          <w:u w:val="none" w:color="auto"/>
          <w:lang w:eastAsia="zh-CN"/>
        </w:rPr>
        <w:t>经营农药残留(水胺硫磷)含量超过食品安全标准限量的“白菜仔”</w:t>
      </w:r>
      <w:r>
        <w:rPr>
          <w:rFonts w:hint="eastAsia" w:ascii="仿宋_GB2312" w:hAnsi="仿宋_GB2312" w:eastAsia="仿宋_GB2312" w:cs="仿宋_GB2312"/>
          <w:color w:val="231F20"/>
          <w:sz w:val="32"/>
          <w:szCs w:val="32"/>
          <w:u w:val="none" w:color="auto"/>
          <w:lang w:eastAsia="zh-CN"/>
        </w:rPr>
        <w:t>违法所得为</w:t>
      </w:r>
      <w:r>
        <w:rPr>
          <w:rFonts w:hint="eastAsia" w:ascii="仿宋_GB2312" w:hAnsi="仿宋_GB2312" w:eastAsia="仿宋_GB2312" w:cs="仿宋_GB2312"/>
          <w:color w:val="231F20"/>
          <w:sz w:val="32"/>
          <w:szCs w:val="32"/>
          <w:u w:val="none" w:color="auto"/>
          <w:lang w:val="en-US" w:eastAsia="zh-CN"/>
        </w:rPr>
        <w:t>8元，货值金额为20元，货值金额不足一万元。</w:t>
      </w:r>
      <w:r>
        <w:rPr>
          <w:rFonts w:hint="eastAsia" w:ascii="仿宋_GB2312" w:hAnsi="仿宋_GB2312" w:eastAsia="仿宋_GB2312" w:cs="仿宋_GB2312"/>
          <w:color w:val="231F20"/>
          <w:spacing w:val="2"/>
          <w:sz w:val="32"/>
          <w:szCs w:val="32"/>
          <w:u w:val="none" w:color="auto"/>
          <w:lang w:val="en-US" w:eastAsia="zh-CN" w:bidi="ar-SA"/>
        </w:rPr>
        <w:t>根据</w:t>
      </w:r>
      <w:r>
        <w:rPr>
          <w:rFonts w:hint="eastAsia" w:ascii="仿宋_GB2312" w:hAnsi="仿宋_GB2312" w:eastAsia="仿宋_GB2312" w:cs="仿宋_GB2312"/>
          <w:sz w:val="32"/>
          <w:szCs w:val="32"/>
          <w:u w:val="none" w:color="auto"/>
          <w:lang w:eastAsia="zh-CN"/>
        </w:rPr>
        <w:t>《中华人民共和国食</w:t>
      </w:r>
      <w:r>
        <w:rPr>
          <w:rFonts w:hint="eastAsia" w:ascii="仿宋_GB2312" w:hAnsi="仿宋_GB2312" w:eastAsia="仿宋_GB2312" w:cs="仿宋_GB2312"/>
          <w:color w:val="231F20"/>
          <w:spacing w:val="2"/>
          <w:sz w:val="32"/>
          <w:szCs w:val="32"/>
          <w:u w:val="none" w:color="auto"/>
          <w:lang w:val="en-US" w:eastAsia="zh-CN" w:bidi="ar-SA"/>
        </w:rPr>
        <w:t>品安全法》第一百二十四条第一款“违反本法规定，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一）生产经营致病性微生物，农药残留、兽药残留、生物毒素、重金属等污染物质以及其他危害人体健康的物质含量超过食品安全标准限量的食品、食品添加剂；”的规定</w:t>
      </w:r>
      <w:r>
        <w:rPr>
          <w:rFonts w:hint="eastAsia" w:ascii="仿宋_GB2312" w:hAnsi="仿宋_GB2312" w:eastAsia="仿宋_GB2312" w:cs="仿宋_GB2312"/>
          <w:color w:val="231F20"/>
          <w:sz w:val="32"/>
          <w:szCs w:val="32"/>
          <w:highlight w:val="none"/>
          <w:u w:val="none" w:color="auto"/>
          <w:lang w:eastAsia="zh-CN"/>
        </w:rPr>
        <w:t>。</w:t>
      </w:r>
      <w:r>
        <w:rPr>
          <w:rFonts w:hint="eastAsia" w:ascii="仿宋_GB2312" w:hAnsi="仿宋_GB2312" w:eastAsia="仿宋_GB2312" w:cs="仿宋_GB2312"/>
          <w:color w:val="231F20"/>
          <w:spacing w:val="2"/>
          <w:sz w:val="32"/>
          <w:szCs w:val="32"/>
          <w:u w:val="none" w:color="auto"/>
          <w:lang w:val="en-US" w:eastAsia="zh-CN" w:bidi="ar-SA"/>
        </w:rPr>
        <w:t>应当没</w:t>
      </w:r>
      <w:r>
        <w:rPr>
          <w:rFonts w:hint="eastAsia" w:ascii="仿宋_GB2312" w:hAnsi="仿宋_GB2312" w:eastAsia="仿宋_GB2312" w:cs="仿宋_GB2312"/>
          <w:sz w:val="32"/>
          <w:szCs w:val="32"/>
          <w:u w:val="none" w:color="auto"/>
          <w:lang w:eastAsia="zh-CN"/>
        </w:rPr>
        <w:t>收违法所得并处五万元以上十万元以下的罚款。</w:t>
      </w:r>
      <w:r>
        <w:rPr>
          <w:rFonts w:hint="eastAsia" w:ascii="仿宋_GB2312" w:hAnsi="仿宋_GB2312" w:eastAsia="仿宋_GB2312" w:cs="仿宋_GB2312"/>
          <w:color w:val="231F20"/>
          <w:spacing w:val="2"/>
          <w:sz w:val="32"/>
          <w:szCs w:val="32"/>
          <w:u w:val="none" w:color="auto"/>
          <w:lang w:val="en-US" w:eastAsia="zh-CN" w:bidi="ar-SA"/>
        </w:rPr>
        <w:t>鉴于</w:t>
      </w:r>
      <w:r>
        <w:rPr>
          <w:rFonts w:hint="eastAsia" w:ascii="仿宋_GB2312" w:hAnsi="仿宋_GB2312" w:eastAsia="仿宋_GB2312" w:cs="仿宋_GB2312"/>
          <w:color w:val="231F20"/>
          <w:sz w:val="32"/>
          <w:szCs w:val="32"/>
          <w:highlight w:val="none"/>
          <w:u w:val="none" w:color="auto"/>
          <w:lang w:eastAsia="zh-CN"/>
        </w:rPr>
        <w:t>当事人</w:t>
      </w:r>
      <w:r>
        <w:rPr>
          <w:rFonts w:hint="eastAsia" w:ascii="仿宋_GB2312" w:hAnsi="仿宋_GB2312" w:eastAsia="仿宋_GB2312" w:cs="仿宋_GB2312"/>
          <w:sz w:val="32"/>
          <w:szCs w:val="32"/>
          <w:u w:val="none" w:color="auto"/>
          <w:lang w:eastAsia="zh-CN"/>
        </w:rPr>
        <w:t>经营农药残留(水胺硫磷)含量超过食品安全标准限量的“白菜仔”是肉眼无法判断，属于非经检测不能得知，难以发现该农产品“水胺硫磷”项目的农药残留量超过标准限量</w:t>
      </w:r>
      <w:r>
        <w:rPr>
          <w:rFonts w:hint="eastAsia" w:ascii="仿宋_GB2312" w:hAnsi="仿宋_GB2312" w:eastAsia="仿宋_GB2312" w:cs="仿宋_GB2312"/>
          <w:color w:val="231F20"/>
          <w:sz w:val="32"/>
          <w:szCs w:val="32"/>
          <w:highlight w:val="none"/>
          <w:u w:val="none" w:color="auto"/>
          <w:lang w:eastAsia="zh-CN"/>
        </w:rPr>
        <w:t>，并无主观故意；</w:t>
      </w:r>
      <w:r>
        <w:rPr>
          <w:rFonts w:hint="eastAsia" w:ascii="仿宋_GB2312" w:hAnsi="仿宋_GB2312" w:eastAsia="仿宋_GB2312" w:cs="仿宋_GB2312"/>
          <w:color w:val="231F20"/>
          <w:spacing w:val="2"/>
          <w:sz w:val="32"/>
          <w:szCs w:val="32"/>
          <w:u w:val="none" w:color="auto"/>
          <w:lang w:val="en-US" w:eastAsia="zh-CN" w:bidi="ar-SA"/>
        </w:rPr>
        <w:t>属于“</w:t>
      </w:r>
      <w:r>
        <w:rPr>
          <w:rFonts w:hint="eastAsia" w:ascii="仿宋_GB2312" w:hAnsi="仿宋_GB2312" w:eastAsia="仿宋_GB2312" w:cs="仿宋_GB2312"/>
          <w:sz w:val="32"/>
          <w:szCs w:val="32"/>
          <w:u w:val="none" w:color="auto"/>
          <w:lang w:eastAsia="zh-CN"/>
        </w:rPr>
        <w:t>有充分证据证明其不知道所采购的食品不符合食品安全标准”的情形；而且当事人履行了《中华人民共和国食品安全法》第五十三条</w:t>
      </w:r>
      <w:r>
        <w:rPr>
          <w:rFonts w:hint="eastAsia" w:ascii="仿宋_GB2312" w:hAnsi="仿宋_GB2312" w:eastAsia="仿宋_GB2312" w:cs="仿宋_GB2312"/>
          <w:color w:val="231F20"/>
          <w:spacing w:val="2"/>
          <w:sz w:val="32"/>
          <w:szCs w:val="32"/>
          <w:u w:val="none" w:color="auto"/>
          <w:lang w:val="en-US" w:eastAsia="zh-CN" w:bidi="ar-SA"/>
        </w:rPr>
        <w:t>第一款“食品经营者采购食品，应当查验供货者的许可证和食品出厂检验合格证或者其他合格证明（以下称合格证明文件）。”所规定的进货查验义务，并能如实说明其进货来源。根据《中华人民</w:t>
      </w:r>
      <w:r>
        <w:rPr>
          <w:rFonts w:hint="eastAsia" w:ascii="仿宋_GB2312" w:hAnsi="仿宋_GB2312" w:eastAsia="仿宋_GB2312" w:cs="仿宋_GB2312"/>
          <w:sz w:val="32"/>
          <w:szCs w:val="32"/>
          <w:u w:val="none" w:color="auto"/>
          <w:lang w:eastAsia="zh-CN"/>
        </w:rPr>
        <w:t>共和国食品安全法》第一百三十六条“食品经营者履行了本法规定的进货查验等义务，有充分证据证明其不知道所采购的食品不符合食品安全标准，并能如实说明其进货来源的，可以免予处罚，但应当依法没收其不符合食品安全标准的食品；造成人身、财产或者其他损害的，依法承担赔偿责任。”的规定</w:t>
      </w:r>
      <w:r>
        <w:rPr>
          <w:rFonts w:hint="eastAsia" w:ascii="仿宋_GB2312" w:hAnsi="仿宋_GB2312" w:eastAsia="仿宋_GB2312" w:cs="仿宋_GB2312"/>
          <w:color w:val="231F20"/>
          <w:sz w:val="32"/>
          <w:szCs w:val="32"/>
          <w:highlight w:val="none"/>
          <w:u w:val="none" w:color="auto"/>
          <w:lang w:eastAsia="zh-CN"/>
        </w:rPr>
        <w:t>，</w:t>
      </w:r>
      <w:r>
        <w:rPr>
          <w:rFonts w:hint="eastAsia" w:ascii="仿宋_GB2312" w:hAnsi="仿宋_GB2312" w:eastAsia="仿宋_GB2312" w:cs="仿宋_GB2312"/>
          <w:sz w:val="32"/>
          <w:szCs w:val="32"/>
          <w:u w:val="none" w:color="auto"/>
          <w:lang w:eastAsia="zh-CN"/>
        </w:rPr>
        <w:t>建议对当事人免予《中华人民共和国食品安全法》第一百二十四条</w:t>
      </w:r>
      <w:r>
        <w:rPr>
          <w:rFonts w:hint="eastAsia" w:ascii="仿宋_GB2312" w:hAnsi="仿宋_GB2312" w:eastAsia="仿宋_GB2312" w:cs="仿宋_GB2312"/>
          <w:color w:val="231F20"/>
          <w:spacing w:val="2"/>
          <w:sz w:val="32"/>
          <w:szCs w:val="32"/>
          <w:u w:val="none" w:color="auto"/>
          <w:lang w:val="en-US" w:eastAsia="zh-CN" w:bidi="ar-SA"/>
        </w:rPr>
        <w:t>第一款</w:t>
      </w:r>
      <w:r>
        <w:rPr>
          <w:rFonts w:hint="eastAsia" w:ascii="仿宋_GB2312" w:hAnsi="仿宋_GB2312" w:eastAsia="仿宋_GB2312" w:cs="仿宋_GB2312"/>
          <w:sz w:val="32"/>
          <w:szCs w:val="32"/>
          <w:u w:val="none" w:color="auto"/>
          <w:lang w:eastAsia="zh-CN"/>
        </w:rPr>
        <w:t>中的罚款处罚。由于涉案批次的产品已于检验报告送达前全部售完，故无法进行没收。建议对当事人经营农药残留(水胺硫磷)含量超过食品安全标准限量的“白菜仔”的行为作出免予处罚。</w:t>
      </w:r>
    </w:p>
    <w:p>
      <w:pPr>
        <w:spacing w:before="1"/>
        <w:ind w:firstLine="640" w:firstLineChars="200"/>
        <w:rPr>
          <w:rFonts w:hint="eastAsia" w:ascii="仿宋_GB2312" w:hAnsi="仿宋_GB2312" w:eastAsia="仿宋_GB2312" w:cs="仿宋_GB2312"/>
          <w:sz w:val="32"/>
          <w:szCs w:val="32"/>
          <w:u w:val="none" w:color="auto"/>
          <w:lang w:eastAsia="zh-CN"/>
        </w:rPr>
      </w:pPr>
      <w:r>
        <w:rPr>
          <w:rFonts w:hint="eastAsia" w:ascii="仿宋_GB2312" w:hAnsi="仿宋_GB2312" w:eastAsia="仿宋_GB2312" w:cs="仿宋_GB2312"/>
          <w:sz w:val="32"/>
          <w:szCs w:val="32"/>
          <w:u w:val="none" w:color="auto"/>
          <w:lang w:eastAsia="zh-CN"/>
        </w:rPr>
        <w:t>综上所述，我局决定对当事人</w:t>
      </w:r>
      <w:r>
        <w:rPr>
          <w:rFonts w:hint="eastAsia" w:ascii="仿宋_GB2312" w:hAnsi="仿宋_GB2312" w:eastAsia="仿宋_GB2312" w:cs="仿宋_GB2312"/>
          <w:color w:val="231F20"/>
          <w:sz w:val="32"/>
          <w:szCs w:val="32"/>
          <w:u w:val="none" w:color="auto"/>
          <w:lang w:eastAsia="zh-CN"/>
        </w:rPr>
        <w:t>经营含禁用农药4-氯苯氧乙酸钠物质的“黄豆芽”和“绿豆芽”及农药残留(水胺硫磷)含量超过食品安全标准限量的“白菜仔”</w:t>
      </w:r>
      <w:r>
        <w:rPr>
          <w:rFonts w:hint="eastAsia" w:ascii="仿宋_GB2312" w:hAnsi="仿宋_GB2312" w:eastAsia="仿宋_GB2312" w:cs="仿宋_GB2312"/>
          <w:sz w:val="32"/>
          <w:szCs w:val="32"/>
          <w:u w:val="none" w:color="auto"/>
          <w:lang w:eastAsia="zh-CN"/>
        </w:rPr>
        <w:t>的两个违法行为合并处罚如下：</w:t>
      </w:r>
    </w:p>
    <w:p>
      <w:pPr>
        <w:spacing w:before="1"/>
        <w:ind w:firstLine="640" w:firstLineChars="200"/>
        <w:rPr>
          <w:rFonts w:hint="eastAsia" w:ascii="仿宋_GB2312" w:hAnsi="仿宋_GB2312" w:eastAsia="仿宋_GB2312" w:cs="仿宋_GB2312"/>
          <w:sz w:val="32"/>
          <w:szCs w:val="32"/>
          <w:u w:val="none" w:color="auto"/>
          <w:lang w:eastAsia="zh-CN"/>
        </w:rPr>
      </w:pPr>
      <w:r>
        <w:rPr>
          <w:rFonts w:hint="eastAsia" w:ascii="仿宋_GB2312" w:hAnsi="仿宋_GB2312" w:eastAsia="仿宋_GB2312" w:cs="仿宋_GB2312"/>
          <w:sz w:val="32"/>
          <w:szCs w:val="32"/>
          <w:u w:val="none" w:color="auto"/>
          <w:lang w:eastAsia="zh-CN"/>
        </w:rPr>
        <w:t>1、没收违法所得￥</w:t>
      </w:r>
      <w:r>
        <w:rPr>
          <w:rFonts w:hint="eastAsia" w:ascii="仿宋_GB2312" w:hAnsi="仿宋_GB2312" w:eastAsia="仿宋_GB2312" w:cs="仿宋_GB2312"/>
          <w:sz w:val="32"/>
          <w:szCs w:val="32"/>
          <w:u w:val="none" w:color="auto"/>
          <w:lang w:val="en-US" w:eastAsia="zh-CN"/>
        </w:rPr>
        <w:t>16</w:t>
      </w:r>
      <w:r>
        <w:rPr>
          <w:rFonts w:hint="eastAsia" w:ascii="仿宋_GB2312" w:hAnsi="仿宋_GB2312" w:eastAsia="仿宋_GB2312" w:cs="仿宋_GB2312"/>
          <w:sz w:val="32"/>
          <w:szCs w:val="32"/>
          <w:u w:val="none" w:color="auto"/>
          <w:lang w:eastAsia="zh-CN"/>
        </w:rPr>
        <w:t>元（人民币壹拾陆元整）；</w:t>
      </w:r>
    </w:p>
    <w:p>
      <w:pPr>
        <w:spacing w:before="1"/>
        <w:ind w:firstLine="640" w:firstLineChars="200"/>
        <w:rPr>
          <w:rFonts w:hint="eastAsia" w:ascii="仿宋_GB2312" w:hAnsi="仿宋_GB2312" w:eastAsia="仿宋_GB2312" w:cs="仿宋_GB2312"/>
          <w:color w:val="000000"/>
          <w:sz w:val="32"/>
          <w:szCs w:val="32"/>
          <w:highlight w:val="none"/>
          <w:u w:val="none" w:color="auto"/>
          <w:lang w:eastAsia="zh-CN"/>
        </w:rPr>
      </w:pPr>
      <w:r>
        <w:rPr>
          <w:rFonts w:hint="eastAsia" w:ascii="仿宋_GB2312" w:hAnsi="仿宋_GB2312" w:eastAsia="仿宋_GB2312" w:cs="仿宋_GB2312"/>
          <w:sz w:val="32"/>
          <w:szCs w:val="32"/>
          <w:u w:val="none" w:color="auto"/>
          <w:lang w:eastAsia="zh-CN"/>
        </w:rPr>
        <w:t>2、处以罚款￥</w:t>
      </w:r>
      <w:r>
        <w:rPr>
          <w:rFonts w:hint="eastAsia" w:ascii="仿宋_GB2312" w:hAnsi="仿宋_GB2312" w:eastAsia="仿宋_GB2312" w:cs="仿宋_GB2312"/>
          <w:sz w:val="32"/>
          <w:szCs w:val="32"/>
          <w:u w:val="none" w:color="auto"/>
          <w:lang w:val="en-US" w:eastAsia="zh-CN"/>
        </w:rPr>
        <w:t>2000</w:t>
      </w:r>
      <w:r>
        <w:rPr>
          <w:rFonts w:hint="eastAsia" w:ascii="仿宋_GB2312" w:hAnsi="仿宋_GB2312" w:eastAsia="仿宋_GB2312" w:cs="仿宋_GB2312"/>
          <w:sz w:val="32"/>
          <w:szCs w:val="32"/>
          <w:u w:val="none" w:color="auto"/>
          <w:lang w:eastAsia="zh-CN"/>
        </w:rPr>
        <w:t>元（人民币贰仟元整）。</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highlight w:val="none"/>
          <w:u w:val="none" w:color="auto"/>
          <w:lang w:val="en-US" w:eastAsia="zh-CN"/>
        </w:rPr>
      </w:pPr>
      <w:r>
        <w:rPr>
          <w:rFonts w:hint="eastAsia" w:ascii="仿宋_GB2312" w:hAnsi="仿宋_GB2312" w:eastAsia="仿宋_GB2312" w:cs="仿宋_GB2312"/>
          <w:sz w:val="32"/>
          <w:szCs w:val="32"/>
          <w:highlight w:val="none"/>
          <w:u w:val="none" w:color="auto"/>
          <w:lang w:val="en-US" w:eastAsia="zh-CN"/>
        </w:rPr>
        <w:t>当事人应当自收到本行政处罚决定书之日起十五日内，将罚没款缴至《广州市非税收入缴款通知书》所列银行。到期不缴纳罚款的，依据《中华人民共和国行政处罚法》第五十一条的规定，本局将每日按罚款数额的百分之三加处罚款，并依法申请人民法院强制执行。</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none" w:color="auto"/>
          <w:lang w:val="en-US" w:eastAsia="zh-CN"/>
        </w:rPr>
        <w:t>如当事人不服本行政处罚决定，可以在收到本行政处罚决定书之日起六十日内向广州市黄埔区人民政府或广州市市场监督管理局申请行政复议，广州市黄埔区人民政府的复议地址：广州市黄埔区水西路12号A栋2楼公共法律服务中心，电话：82378878，广州市市场监督管理局的复议地址：广州市天河区天河路112号，电话：85590146。也可以在六个月内依法向广州铁路运输法院提起行政诉讼。申请行政复议或者提起诉讼期间，行政处罚不停止执行。</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u w:val="single"/>
          <w:lang w:val="en-US" w:eastAsia="zh-CN"/>
        </w:rPr>
      </w:pPr>
    </w:p>
    <w:p>
      <w:pPr>
        <w:pStyle w:val="2"/>
        <w:keepNext w:val="0"/>
        <w:keepLines w:val="0"/>
        <w:pageBreakBefore w:val="0"/>
        <w:widowControl w:val="0"/>
        <w:tabs>
          <w:tab w:val="left" w:pos="5003"/>
        </w:tabs>
        <w:kinsoku/>
        <w:wordWrap/>
        <w:overflowPunct/>
        <w:topLinePunct w:val="0"/>
        <w:autoSpaceDE/>
        <w:autoSpaceDN/>
        <w:bidi w:val="0"/>
        <w:adjustRightInd/>
        <w:snapToGrid/>
        <w:spacing w:line="240" w:lineRule="auto"/>
        <w:ind w:firstLine="3840" w:firstLineChars="1200"/>
        <w:jc w:val="both"/>
        <w:textAlignment w:val="auto"/>
        <w:rPr>
          <w:rFonts w:hint="eastAsia" w:ascii="仿宋_GB2312" w:hAnsi="仿宋_GB2312" w:eastAsia="仿宋_GB2312" w:cs="仿宋_GB2312"/>
          <w:color w:val="231F20"/>
          <w:sz w:val="32"/>
          <w:szCs w:val="32"/>
        </w:rPr>
      </w:pPr>
      <w:r>
        <w:rPr>
          <w:rFonts w:hint="eastAsia" w:ascii="仿宋_GB2312" w:hAnsi="仿宋_GB2312" w:eastAsia="仿宋_GB2312" w:cs="仿宋_GB2312"/>
          <w:color w:val="231F20"/>
          <w:sz w:val="32"/>
          <w:szCs w:val="32"/>
          <w:u w:val="none" w:color="auto"/>
          <w:lang w:eastAsia="zh-CN"/>
        </w:rPr>
        <w:t>广州市黄埔区</w:t>
      </w:r>
      <w:r>
        <w:rPr>
          <w:rFonts w:hint="eastAsia" w:ascii="仿宋_GB2312" w:hAnsi="仿宋_GB2312" w:eastAsia="仿宋_GB2312" w:cs="仿宋_GB2312"/>
          <w:color w:val="231F20"/>
          <w:sz w:val="32"/>
          <w:szCs w:val="32"/>
        </w:rPr>
        <w:t>市场监督管理局</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                       2019年12月26日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28"/>
          <w:szCs w:val="28"/>
          <w:u w:val="none"/>
          <w:lang w:val="en-US" w:eastAsia="zh-CN"/>
        </w:rPr>
        <w:t>（</w:t>
      </w:r>
      <w:r>
        <w:rPr>
          <w:rFonts w:hint="eastAsia" w:ascii="仿宋_GB2312" w:hAnsi="仿宋_GB2312" w:eastAsia="仿宋_GB2312" w:cs="仿宋_GB2312"/>
          <w:sz w:val="32"/>
          <w:szCs w:val="32"/>
          <w:u w:val="none"/>
          <w:lang w:val="en-US" w:eastAsia="zh-CN"/>
        </w:rPr>
        <w:t>市场监督管理部门将依法向社会公示本行政处罚决定信息</w:t>
      </w:r>
      <w:r>
        <w:rPr>
          <w:rFonts w:hint="eastAsia" w:ascii="仿宋_GB2312" w:hAnsi="仿宋_GB2312" w:eastAsia="仿宋_GB2312" w:cs="仿宋_GB2312"/>
          <w:sz w:val="28"/>
          <w:szCs w:val="28"/>
          <w:u w:val="none"/>
          <w:lang w:val="en-US"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F81C75"/>
    <w:rsid w:val="01E149E8"/>
    <w:rsid w:val="025C3F46"/>
    <w:rsid w:val="07D31AC4"/>
    <w:rsid w:val="0A782271"/>
    <w:rsid w:val="0E446008"/>
    <w:rsid w:val="0E5762E3"/>
    <w:rsid w:val="0F831576"/>
    <w:rsid w:val="0FE55243"/>
    <w:rsid w:val="14C4317E"/>
    <w:rsid w:val="175B2E3C"/>
    <w:rsid w:val="19350FD4"/>
    <w:rsid w:val="1B8B1323"/>
    <w:rsid w:val="1D3F43EB"/>
    <w:rsid w:val="1E3471B4"/>
    <w:rsid w:val="2467184F"/>
    <w:rsid w:val="246B1B82"/>
    <w:rsid w:val="2779206E"/>
    <w:rsid w:val="27E20CFA"/>
    <w:rsid w:val="2837764A"/>
    <w:rsid w:val="29676FF4"/>
    <w:rsid w:val="2C8D29D4"/>
    <w:rsid w:val="2D857983"/>
    <w:rsid w:val="2D93641D"/>
    <w:rsid w:val="31A72B15"/>
    <w:rsid w:val="33CC105B"/>
    <w:rsid w:val="34981DAD"/>
    <w:rsid w:val="350E373A"/>
    <w:rsid w:val="38DB3610"/>
    <w:rsid w:val="39CE5031"/>
    <w:rsid w:val="3A874563"/>
    <w:rsid w:val="3B1E4305"/>
    <w:rsid w:val="3D453773"/>
    <w:rsid w:val="3F19294D"/>
    <w:rsid w:val="3F3A530F"/>
    <w:rsid w:val="42F95365"/>
    <w:rsid w:val="43167757"/>
    <w:rsid w:val="43AD63A1"/>
    <w:rsid w:val="47AE5282"/>
    <w:rsid w:val="4C4C0DDC"/>
    <w:rsid w:val="4CB905FF"/>
    <w:rsid w:val="4CE94240"/>
    <w:rsid w:val="4DF06603"/>
    <w:rsid w:val="539A6076"/>
    <w:rsid w:val="54A40CC5"/>
    <w:rsid w:val="5B3B6C27"/>
    <w:rsid w:val="5DAB403F"/>
    <w:rsid w:val="5EF24C84"/>
    <w:rsid w:val="60225238"/>
    <w:rsid w:val="6057028D"/>
    <w:rsid w:val="62287C67"/>
    <w:rsid w:val="622C2F4F"/>
    <w:rsid w:val="6250689F"/>
    <w:rsid w:val="62800E8F"/>
    <w:rsid w:val="65F81C75"/>
    <w:rsid w:val="69720D4B"/>
    <w:rsid w:val="6D9E07D9"/>
    <w:rsid w:val="6DF20FA1"/>
    <w:rsid w:val="6EB205F9"/>
    <w:rsid w:val="71FA081B"/>
    <w:rsid w:val="75A509DD"/>
    <w:rsid w:val="76A60286"/>
    <w:rsid w:val="76E02D42"/>
    <w:rsid w:val="76E8170C"/>
    <w:rsid w:val="7A80640F"/>
    <w:rsid w:val="7AD0152C"/>
    <w:rsid w:val="7D0F11F5"/>
    <w:rsid w:val="7DB91DBD"/>
    <w:rsid w:val="7EDA73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Calibri" w:hAnsi="Calibri" w:eastAsia="宋体" w:cs="Times New Roman"/>
      <w:kern w:val="0"/>
      <w:sz w:val="22"/>
      <w:szCs w:val="22"/>
      <w:lang w:val="en-US" w:eastAsia="en-US"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99"/>
    <w:pPr>
      <w:ind w:left="220"/>
    </w:pPr>
    <w:rPr>
      <w:rFonts w:ascii="宋体" w:hAnsi="宋体"/>
      <w:sz w:val="32"/>
      <w:szCs w:val="32"/>
    </w:rPr>
  </w:style>
  <w:style w:type="paragraph" w:customStyle="1" w:styleId="5">
    <w:name w:val="p17"/>
    <w:basedOn w:val="1"/>
    <w:qFormat/>
    <w:uiPriority w:val="0"/>
    <w:pPr>
      <w:widowControl/>
      <w:spacing w:before="100" w:beforeLines="0" w:after="100" w:afterLines="0"/>
      <w:jc w:val="left"/>
    </w:pPr>
    <w:rPr>
      <w:rFonts w:ascii="宋体" w:hAnsi="宋体" w:cs="宋体"/>
      <w:kern w:val="0"/>
      <w:sz w:val="24"/>
    </w:rPr>
  </w:style>
  <w:style w:type="paragraph" w:customStyle="1" w:styleId="6">
    <w:name w:val="Table Paragraph"/>
    <w:basedOn w:val="1"/>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51</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2019-04-18T02:04:00Z</dcterms:created>
  <dc:creator>111</dc:creator>
  <cp:lastModifiedBy>Administrator</cp:lastModifiedBy>
  <cp:lastPrinted>2019-12-26T01:13:00Z</cp:lastPrinted>
  <dcterms:modified xsi:type="dcterms:W3CDTF">2020-01-14T05:53:53Z</dcterms:modified>
  <dc:title>广州市黄埔区市场监督管理局</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