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" w:line="4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Times New Roman"/>
          <w:b/>
          <w:color w:val="231F20"/>
          <w:sz w:val="44"/>
          <w:szCs w:val="42"/>
          <w:lang w:val="en-US" w:eastAsia="zh-CN" w:bidi="ar-SA"/>
        </w:rPr>
      </w:pPr>
      <w:r>
        <w:rPr>
          <w:rFonts w:hint="eastAsia" w:ascii="方正小标宋简体" w:hAnsi="方正小标宋简体" w:eastAsia="方正小标宋简体" w:cs="Times New Roman"/>
          <w:b/>
          <w:color w:val="231F20"/>
          <w:sz w:val="44"/>
          <w:szCs w:val="42"/>
          <w:lang w:val="en-US" w:eastAsia="zh-CN" w:bidi="ar-SA"/>
        </w:rPr>
        <w:t>行政处罚决定书</w:t>
      </w:r>
    </w:p>
    <w:p>
      <w:pPr>
        <w:spacing w:before="12" w:line="440" w:lineRule="exact"/>
        <w:jc w:val="center"/>
        <w:rPr>
          <w:rFonts w:hint="eastAsia" w:ascii="仿宋_GB2312" w:hAnsi="仿宋_GB2312" w:eastAsia="仿宋_GB2312" w:cs="仿宋_GB2312"/>
          <w:color w:val="231F2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231F20"/>
          <w:kern w:val="0"/>
          <w:sz w:val="30"/>
          <w:szCs w:val="30"/>
          <w:lang w:val="en-US" w:eastAsia="zh-CN" w:bidi="ar-SA"/>
        </w:rPr>
        <w:t>穗埔市监鱼珠处字〔2020〕第4号</w:t>
      </w:r>
    </w:p>
    <w:p>
      <w:pPr>
        <w:spacing w:before="12" w:line="240" w:lineRule="auto"/>
        <w:jc w:val="center"/>
        <w:rPr>
          <w:rFonts w:hint="eastAsia" w:ascii="宋体" w:hAnsi="宋体" w:eastAsia="宋体" w:cs="Times New Roman"/>
          <w:color w:val="231F20"/>
          <w:kern w:val="0"/>
          <w:sz w:val="45"/>
          <w:szCs w:val="45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_GB2312" w:eastAsia="仿宋_GB2312" w:cs="仿宋_GB2312"/>
          <w:color w:val="231F20"/>
          <w:spacing w:val="-13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none" w:color="auto"/>
          <w:lang w:eastAsia="zh-CN"/>
        </w:rPr>
        <w:t>当事人：</w:t>
      </w:r>
      <w:r>
        <w:rPr>
          <w:rFonts w:hint="eastAsia" w:ascii="仿宋_GB2312" w:hAnsi="Arial" w:eastAsia="仿宋_GB2312" w:cs="Arial"/>
          <w:color w:val="000000"/>
          <w:sz w:val="32"/>
          <w:szCs w:val="32"/>
          <w:u w:val="none" w:color="auto"/>
          <w:lang w:eastAsia="zh-CN"/>
        </w:rPr>
        <w:t>广州市黄埔区碧果商贸有限公司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none" w:color="auto"/>
          <w:lang w:eastAsia="zh-CN"/>
        </w:rPr>
        <w:t>主体资格证照名称：营业执照</w:t>
      </w: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none" w:color="auto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Arial" w:eastAsia="仿宋_GB2312" w:cs="Arial"/>
          <w:color w:val="000000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none" w:color="auto"/>
          <w:lang w:eastAsia="zh-CN"/>
        </w:rPr>
        <w:t>统一社会信用代码（注册号）：</w:t>
      </w:r>
      <w:r>
        <w:rPr>
          <w:rFonts w:hint="eastAsia" w:ascii="仿宋_GB2312" w:hAnsi="Arial" w:eastAsia="仿宋_GB2312" w:cs="Arial"/>
          <w:color w:val="000000"/>
          <w:sz w:val="32"/>
          <w:szCs w:val="32"/>
          <w:u w:val="none" w:color="auto"/>
          <w:lang w:val="en-US" w:eastAsia="zh-CN"/>
        </w:rPr>
        <w:t>91440101MA5CLN389J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Arial" w:eastAsia="仿宋_GB2312" w:cs="Arial"/>
          <w:color w:val="000000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none" w:color="auto"/>
          <w:lang w:eastAsia="zh-CN"/>
        </w:rPr>
        <w:t>住所（住址）：</w:t>
      </w:r>
      <w:r>
        <w:rPr>
          <w:rFonts w:hint="eastAsia" w:ascii="仿宋_GB2312" w:hAnsi="Arial" w:eastAsia="仿宋_GB2312" w:cs="Arial"/>
          <w:color w:val="000000"/>
          <w:sz w:val="32"/>
          <w:szCs w:val="32"/>
          <w:u w:val="none" w:color="auto"/>
          <w:lang w:val="en-US" w:eastAsia="zh-CN"/>
        </w:rPr>
        <w:t>广州市黄埔区世纪南三街9号自编909、910号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Arial" w:eastAsia="仿宋_GB2312" w:cs="Arial"/>
          <w:color w:val="000000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none" w:color="auto"/>
          <w:lang w:eastAsia="zh-CN"/>
        </w:rPr>
        <w:t>法定代表人（负责人、经营者）：</w:t>
      </w:r>
      <w:r>
        <w:rPr>
          <w:rFonts w:hint="eastAsia" w:ascii="仿宋_GB2312" w:hAnsi="Arial" w:eastAsia="仿宋_GB2312" w:cs="Arial"/>
          <w:color w:val="000000"/>
          <w:sz w:val="32"/>
          <w:szCs w:val="32"/>
          <w:u w:val="none" w:color="auto"/>
          <w:lang w:val="en-US" w:eastAsia="zh-CN"/>
        </w:rPr>
        <w:t>冯思慧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_GB2312" w:eastAsia="仿宋_GB2312" w:cs="仿宋_GB2312"/>
          <w:color w:val="231F20"/>
          <w:spacing w:val="-13"/>
          <w:sz w:val="32"/>
          <w:szCs w:val="32"/>
          <w:u w:val="single" w:color="231F20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none" w:color="auto"/>
          <w:lang w:eastAsia="zh-CN"/>
        </w:rPr>
        <w:t>身份证（其他有效证件）号码：</w:t>
      </w:r>
      <w:r>
        <w:rPr>
          <w:rFonts w:hint="eastAsia" w:ascii="仿宋_GB2312" w:hAnsi="Arial" w:eastAsia="仿宋_GB2312" w:cs="Arial"/>
          <w:color w:val="000000"/>
          <w:sz w:val="32"/>
          <w:szCs w:val="32"/>
          <w:u w:val="non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none" w:color="auto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non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none" w:color="auto"/>
          <w:lang w:eastAsia="zh-CN"/>
        </w:rPr>
        <w:t>联系地址：</w:t>
      </w:r>
      <w:r>
        <w:rPr>
          <w:rFonts w:hint="eastAsia" w:ascii="仿宋_GB2312" w:hAnsi="Arial" w:eastAsia="仿宋_GB2312" w:cs="Arial"/>
          <w:color w:val="000000"/>
          <w:sz w:val="32"/>
          <w:szCs w:val="32"/>
          <w:u w:val="none" w:color="auto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</w:rPr>
        <w:t>2019年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val="en-US" w:eastAsia="zh-CN"/>
        </w:rPr>
        <w:t>11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</w:rPr>
        <w:t>月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val="en-US" w:eastAsia="zh-CN"/>
        </w:rPr>
        <w:t>25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</w:rPr>
        <w:t>日，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auto"/>
        </w:rPr>
        <w:t>广州市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auto"/>
          <w:lang w:eastAsia="zh-CN"/>
        </w:rPr>
        <w:t>市场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auto"/>
        </w:rPr>
        <w:t>监督管理局委托广州检验检测认证集团有限公司对当事人销售的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auto"/>
          <w:lang w:eastAsia="zh-CN"/>
        </w:rPr>
        <w:t>购进日期为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auto"/>
          <w:lang w:val="en-US" w:eastAsia="zh-CN"/>
        </w:rPr>
        <w:t>2019年11月25日的“豆芽”和“小白菜”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auto"/>
        </w:rPr>
        <w:t>进行抽样检验。</w:t>
      </w:r>
      <w:r>
        <w:rPr>
          <w:rFonts w:ascii="仿宋_GB2312" w:hAnsi="仿宋" w:eastAsia="仿宋_GB2312"/>
          <w:color w:val="000000"/>
          <w:sz w:val="32"/>
          <w:szCs w:val="32"/>
          <w:u w:val="none" w:color="auto"/>
        </w:rPr>
        <w:t>201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</w:rPr>
        <w:t>9年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val="en-US" w:eastAsia="zh-CN"/>
        </w:rPr>
        <w:t>12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</w:rPr>
        <w:t>月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val="en-US" w:eastAsia="zh-CN"/>
        </w:rPr>
        <w:t>16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</w:rPr>
        <w:t>日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eastAsia="zh-CN"/>
        </w:rPr>
        <w:t>、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val="en-US" w:eastAsia="zh-CN"/>
        </w:rPr>
        <w:t>2019年12月20日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eastAsia="zh-CN"/>
        </w:rPr>
        <w:t>我局收到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auto"/>
        </w:rPr>
        <w:t>广州检验检测认证集团有限公司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eastAsia="zh-CN"/>
        </w:rPr>
        <w:t>监督抽检检验报告，报告编号分别为：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val="en-US" w:eastAsia="zh-CN"/>
        </w:rPr>
        <w:t>食监2019-11-2360、食监2019-11-2382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eastAsia="zh-CN"/>
        </w:rPr>
        <w:t>报告显示受检的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val="en-US" w:eastAsia="zh-CN"/>
        </w:rPr>
        <w:t>小白菜“毒死蜱”项目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eastAsia="zh-CN"/>
        </w:rPr>
        <w:t>不符合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val="en-US" w:eastAsia="zh-CN"/>
        </w:rPr>
        <w:t>GB 2763-2016标准要求，受检的豆芽“4-氯苯氧乙酸钠（以4-氯苯氧乙酸计）”项目不符合要求，检验结论均为不合格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因当事人广州市黄埔区碧果商贸有限公司涉嫌销售（4-氯苯氧乙酸钠）不符合食品安全标准的豆芽和（毒死蜱）不符合食品安全标准的小白菜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 w:color="auto"/>
          <w:lang w:eastAsia="zh-CN"/>
        </w:rPr>
        <w:t>。我局于2019年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 w:color="auto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 w:color="auto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 w:color="auto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 w:color="auto"/>
          <w:lang w:eastAsia="zh-CN"/>
        </w:rPr>
        <w:t>日立案调查。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经查明，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当事人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于2019年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在白云区张村市场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购入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val="en-US" w:eastAsia="zh-CN"/>
        </w:rPr>
        <w:t>“毒死蜱”项目不合格的小白菜5公斤，采购价为元/公斤，销售价为元/公斤，货值金额元，违法所得13元；含有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4-氯苯氧乙酸钠的豆芽10公斤，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val="en-US" w:eastAsia="zh-CN"/>
        </w:rPr>
        <w:t>采购价为元/公斤，销售价为元/公斤，货值金额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val="en-US" w:eastAsia="zh-CN"/>
        </w:rPr>
        <w:t>元，违法所得30元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。截至执法人员2019年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日现场检查时，涉案批次产品已全部销售完毕。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91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231F20"/>
          <w:spacing w:val="-1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231F20"/>
          <w:spacing w:val="-13"/>
          <w:sz w:val="32"/>
          <w:szCs w:val="32"/>
          <w:lang w:eastAsia="zh-CN"/>
        </w:rPr>
        <w:t>上述事实，主要有以下证据证明：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000000"/>
          <w:sz w:val="32"/>
          <w:szCs w:val="32"/>
          <w:u w:val="none" w:color="auto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auto"/>
        </w:rPr>
        <w:t>广州检验检测认证集团有限公司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eastAsia="zh-CN"/>
        </w:rPr>
        <w:t>监督抽检检验报告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val="en-US" w:eastAsia="zh-CN"/>
        </w:rPr>
        <w:t>2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</w:rPr>
        <w:t>份，报告编号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eastAsia="zh-CN"/>
        </w:rPr>
        <w:t>分别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</w:rPr>
        <w:t>为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val="en-US" w:eastAsia="zh-CN"/>
        </w:rPr>
        <w:t>食监2019-11-2360、食监2019-11-2382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</w:rPr>
        <w:t>，附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eastAsia="zh-CN"/>
        </w:rPr>
        <w:t>检验结果确认回执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val="en-US" w:eastAsia="zh-CN"/>
        </w:rPr>
        <w:t>2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</w:rPr>
        <w:t>份，食品安全抽样检验抽样单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val="en-US" w:eastAsia="zh-CN"/>
        </w:rPr>
        <w:t>2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</w:rPr>
        <w:t>份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eastAsia="zh-CN"/>
        </w:rPr>
        <w:t>，抽样发票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val="en-US" w:eastAsia="zh-CN"/>
        </w:rPr>
        <w:t>1份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000000"/>
          <w:sz w:val="32"/>
          <w:szCs w:val="32"/>
          <w:u w:val="none" w:color="auto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val="en-US" w:eastAsia="zh-CN"/>
        </w:rPr>
        <w:t>2.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</w:rPr>
        <w:t>当事人提供的201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val="en-US" w:eastAsia="zh-CN"/>
        </w:rPr>
        <w:t>9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</w:rPr>
        <w:t>年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val="en-US" w:eastAsia="zh-CN"/>
        </w:rPr>
        <w:t>11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</w:rPr>
        <w:t>月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val="en-US" w:eastAsia="zh-CN"/>
        </w:rPr>
        <w:t>25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</w:rPr>
        <w:t>日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val="en-US" w:eastAsia="zh-CN"/>
        </w:rPr>
        <w:t>从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eastAsia="zh-CN"/>
        </w:rPr>
        <w:t>张村市场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val="en-US" w:eastAsia="zh-CN"/>
        </w:rPr>
        <w:t>采购小白菜和豆芽的送货单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eastAsia="zh-CN"/>
        </w:rPr>
        <w:t>复印件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val="en-US" w:eastAsia="zh-CN"/>
        </w:rPr>
        <w:t>3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eastAsia="zh-CN"/>
        </w:rPr>
        <w:t>张、供货商营业执照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val="en-US" w:eastAsia="zh-CN"/>
        </w:rPr>
        <w:t>2份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/>
          <w:color w:val="231F20"/>
          <w:spacing w:val="-54"/>
          <w:sz w:val="32"/>
          <w:szCs w:val="32"/>
          <w:highlight w:val="none"/>
          <w:u w:val="none" w:color="auto"/>
        </w:rPr>
        <w:t>证</w:t>
      </w:r>
      <w:r>
        <w:rPr>
          <w:rFonts w:hint="eastAsia" w:ascii="仿宋_GB2312" w:hAnsi="仿宋_GB2312" w:eastAsia="仿宋_GB2312" w:cs="仿宋_GB2312"/>
          <w:i w:val="0"/>
          <w:iCs/>
          <w:color w:val="231F20"/>
          <w:spacing w:val="-54"/>
          <w:sz w:val="32"/>
          <w:szCs w:val="32"/>
          <w:highlight w:val="none"/>
          <w:u w:val="non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/>
          <w:color w:val="231F20"/>
          <w:spacing w:val="-54"/>
          <w:sz w:val="32"/>
          <w:szCs w:val="32"/>
          <w:highlight w:val="none"/>
          <w:u w:val="none" w:color="auto"/>
        </w:rPr>
        <w:t>明</w:t>
      </w:r>
      <w:r>
        <w:rPr>
          <w:rFonts w:hint="eastAsia" w:ascii="仿宋_GB2312" w:hAnsi="仿宋_GB2312" w:eastAsia="仿宋_GB2312" w:cs="仿宋_GB2312"/>
          <w:i w:val="0"/>
          <w:iCs/>
          <w:color w:val="231F20"/>
          <w:spacing w:val="-54"/>
          <w:sz w:val="32"/>
          <w:szCs w:val="32"/>
          <w:highlight w:val="none"/>
          <w:u w:val="none" w:color="auto"/>
          <w:lang w:val="en-US" w:eastAsia="zh-CN"/>
        </w:rPr>
        <w:t xml:space="preserve">  其 已 </w:t>
      </w:r>
      <w:r>
        <w:rPr>
          <w:rFonts w:hint="eastAsia" w:ascii="仿宋_GB2312" w:hAnsi="仿宋_GB2312" w:eastAsia="仿宋_GB2312" w:cs="仿宋_GB2312"/>
          <w:i w:val="0"/>
          <w:iCs/>
          <w:color w:val="231F20"/>
          <w:sz w:val="32"/>
          <w:szCs w:val="32"/>
          <w:highlight w:val="none"/>
          <w:u w:val="none" w:color="auto"/>
          <w:lang w:eastAsia="zh-CN"/>
        </w:rPr>
        <w:t>履行索证索票</w:t>
      </w:r>
      <w:r>
        <w:rPr>
          <w:rFonts w:hint="eastAsia" w:ascii="仿宋_GB2312" w:hAnsi="仿宋_GB2312" w:eastAsia="仿宋_GB2312" w:cs="仿宋_GB2312"/>
          <w:i w:val="0"/>
          <w:iCs/>
          <w:color w:val="231F20"/>
          <w:spacing w:val="-54"/>
          <w:sz w:val="32"/>
          <w:szCs w:val="32"/>
          <w:highlight w:val="none"/>
          <w:u w:val="none" w:color="auto"/>
          <w:lang w:val="en-US" w:eastAsia="zh-CN"/>
        </w:rPr>
        <w:t xml:space="preserve">和 进 货 查  验 义 务。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000000"/>
          <w:sz w:val="32"/>
          <w:szCs w:val="32"/>
          <w:u w:val="none" w:color="auto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val="en-US" w:eastAsia="zh-CN"/>
        </w:rPr>
        <w:t>3.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</w:rPr>
        <w:t>《现场检查笔录》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val="en-US" w:eastAsia="zh-CN"/>
        </w:rPr>
        <w:t>2份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</w:rPr>
        <w:t>、《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eastAsia="zh-CN"/>
        </w:rPr>
        <w:t>询问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</w:rPr>
        <w:t>笔录》及送达回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eastAsia="zh-CN"/>
        </w:rPr>
        <w:t>证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</w:rPr>
        <w:t>各1份；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val="en-US" w:eastAsia="zh-CN"/>
        </w:rPr>
        <w:t>4.当事人《营业执照》、《食品经营许可证》、《授权委托书》等各1份。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仿宋_GB2312" w:hAnsi="仿宋" w:eastAsia="仿宋_GB2312"/>
          <w:color w:val="000000"/>
          <w:sz w:val="32"/>
          <w:szCs w:val="32"/>
          <w:u w:val="none" w:color="auto"/>
          <w:lang w:val="en-US" w:eastAsia="zh-CN"/>
        </w:rPr>
      </w:pPr>
      <w:r>
        <w:rPr>
          <w:rFonts w:hint="default" w:ascii="仿宋_GB2312" w:hAnsi="仿宋" w:eastAsia="仿宋_GB2312"/>
          <w:color w:val="000000"/>
          <w:sz w:val="32"/>
          <w:szCs w:val="32"/>
          <w:u w:val="none" w:color="auto"/>
          <w:lang w:val="en-US" w:eastAsia="zh-CN"/>
        </w:rPr>
        <w:t>以上证据材料均经过当事人确认。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仿宋_GB2312" w:hAnsi="仿宋" w:eastAsia="仿宋_GB2312"/>
          <w:color w:val="000000"/>
          <w:sz w:val="32"/>
          <w:szCs w:val="32"/>
          <w:u w:val="none" w:color="auto"/>
          <w:lang w:val="en-US" w:eastAsia="zh-CN"/>
        </w:rPr>
      </w:pPr>
      <w:r>
        <w:rPr>
          <w:rFonts w:hint="default" w:ascii="仿宋_GB2312" w:hAnsi="仿宋" w:eastAsia="仿宋_GB2312"/>
          <w:color w:val="auto"/>
          <w:sz w:val="32"/>
          <w:szCs w:val="32"/>
          <w:u w:val="none" w:color="auto"/>
          <w:lang w:val="en-US" w:eastAsia="zh-CN"/>
        </w:rPr>
        <w:t>20</w:t>
      </w:r>
      <w:r>
        <w:rPr>
          <w:rFonts w:hint="eastAsia" w:ascii="仿宋_GB2312" w:hAnsi="仿宋" w:eastAsia="仿宋_GB2312"/>
          <w:color w:val="auto"/>
          <w:sz w:val="32"/>
          <w:szCs w:val="32"/>
          <w:u w:val="none" w:color="auto"/>
          <w:lang w:val="en-US" w:eastAsia="zh-CN"/>
        </w:rPr>
        <w:t>20</w:t>
      </w:r>
      <w:r>
        <w:rPr>
          <w:rFonts w:hint="default" w:ascii="仿宋_GB2312" w:hAnsi="仿宋" w:eastAsia="仿宋_GB2312"/>
          <w:color w:val="auto"/>
          <w:sz w:val="32"/>
          <w:szCs w:val="32"/>
          <w:u w:val="none" w:color="auto"/>
          <w:lang w:val="en-US" w:eastAsia="zh-CN"/>
        </w:rPr>
        <w:t>年</w:t>
      </w:r>
      <w:r>
        <w:rPr>
          <w:rFonts w:hint="eastAsia" w:ascii="仿宋_GB2312" w:hAnsi="仿宋" w:eastAsia="仿宋_GB2312"/>
          <w:color w:val="auto"/>
          <w:sz w:val="32"/>
          <w:szCs w:val="32"/>
          <w:u w:val="none" w:color="auto"/>
          <w:lang w:val="en-US" w:eastAsia="zh-CN"/>
        </w:rPr>
        <w:t>2</w:t>
      </w:r>
      <w:r>
        <w:rPr>
          <w:rFonts w:hint="default" w:ascii="仿宋_GB2312" w:hAnsi="仿宋" w:eastAsia="仿宋_GB2312"/>
          <w:color w:val="auto"/>
          <w:sz w:val="32"/>
          <w:szCs w:val="32"/>
          <w:u w:val="none" w:color="auto"/>
          <w:lang w:val="en-US" w:eastAsia="zh-CN"/>
        </w:rPr>
        <w:t>月</w:t>
      </w:r>
      <w:r>
        <w:rPr>
          <w:rFonts w:hint="eastAsia" w:ascii="仿宋_GB2312" w:hAnsi="仿宋" w:eastAsia="仿宋_GB2312"/>
          <w:color w:val="auto"/>
          <w:sz w:val="32"/>
          <w:szCs w:val="32"/>
          <w:u w:val="none" w:color="auto"/>
          <w:lang w:val="en-US" w:eastAsia="zh-CN"/>
        </w:rPr>
        <w:t>3</w:t>
      </w:r>
      <w:r>
        <w:rPr>
          <w:rFonts w:hint="default" w:ascii="仿宋_GB2312" w:hAnsi="仿宋" w:eastAsia="仿宋_GB2312"/>
          <w:color w:val="auto"/>
          <w:sz w:val="32"/>
          <w:szCs w:val="32"/>
          <w:u w:val="none" w:color="auto"/>
          <w:lang w:val="en-US" w:eastAsia="zh-CN"/>
        </w:rPr>
        <w:t>日我局向</w:t>
      </w:r>
      <w:r>
        <w:rPr>
          <w:rFonts w:hint="eastAsia" w:ascii="仿宋_GB2312" w:hAnsi="仿宋" w:eastAsia="仿宋_GB2312"/>
          <w:color w:val="auto"/>
          <w:sz w:val="32"/>
          <w:szCs w:val="32"/>
          <w:u w:val="none" w:color="auto"/>
          <w:lang w:val="en-US" w:eastAsia="zh-CN"/>
        </w:rPr>
        <w:t>当事人</w:t>
      </w:r>
      <w:r>
        <w:rPr>
          <w:rFonts w:hint="default" w:ascii="仿宋_GB2312" w:hAnsi="仿宋" w:eastAsia="仿宋_GB2312"/>
          <w:color w:val="auto"/>
          <w:sz w:val="32"/>
          <w:szCs w:val="32"/>
          <w:u w:val="none" w:color="auto"/>
          <w:lang w:val="en-US" w:eastAsia="zh-CN"/>
        </w:rPr>
        <w:t>直接送达《行政处罚告知</w:t>
      </w:r>
      <w:r>
        <w:rPr>
          <w:rFonts w:hint="default" w:ascii="仿宋_GB2312" w:hAnsi="仿宋" w:eastAsia="仿宋_GB2312"/>
          <w:color w:val="000000"/>
          <w:sz w:val="32"/>
          <w:szCs w:val="32"/>
          <w:u w:val="none" w:color="auto"/>
          <w:lang w:val="en-US" w:eastAsia="zh-CN"/>
        </w:rPr>
        <w:t>书》一份，</w:t>
      </w:r>
      <w:r>
        <w:rPr>
          <w:rFonts w:hint="eastAsia" w:ascii="仿宋_GB2312" w:hAnsi="仿宋" w:eastAsia="仿宋_GB2312"/>
          <w:color w:val="000000"/>
          <w:sz w:val="32"/>
          <w:szCs w:val="32"/>
          <w:u w:val="none" w:color="auto"/>
          <w:lang w:val="en-US" w:eastAsia="zh-CN"/>
        </w:rPr>
        <w:t>告知当事人享有陈述、申辩权，至今当事人仍未向我局提出，视为放弃此权利</w:t>
      </w:r>
      <w:r>
        <w:rPr>
          <w:rFonts w:hint="default" w:ascii="仿宋_GB2312" w:hAnsi="仿宋" w:eastAsia="仿宋_GB2312"/>
          <w:color w:val="000000"/>
          <w:sz w:val="32"/>
          <w:szCs w:val="32"/>
          <w:u w:val="none" w:color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231F20"/>
          <w:sz w:val="32"/>
          <w:szCs w:val="32"/>
          <w:highlight w:val="none"/>
          <w:u w:val="none" w:color="auto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u w:val="none"/>
          <w:lang w:eastAsia="zh-CN"/>
        </w:rPr>
        <w:t>根据检验报告书编号为食监</w:t>
      </w:r>
      <w:r>
        <w:rPr>
          <w:rFonts w:hint="eastAsia" w:ascii="仿宋_GB2312" w:hAnsi="仿宋" w:eastAsia="仿宋_GB2312"/>
          <w:color w:val="000000"/>
          <w:sz w:val="32"/>
          <w:szCs w:val="32"/>
          <w:u w:val="none"/>
          <w:lang w:val="en-US" w:eastAsia="zh-CN"/>
        </w:rPr>
        <w:t>2019-11-2360的不合格报告说明，</w:t>
      </w:r>
      <w:r>
        <w:rPr>
          <w:rFonts w:hint="eastAsia" w:ascii="仿宋_GB2312" w:hAnsi="仿宋" w:eastAsia="仿宋_GB2312"/>
          <w:color w:val="000000"/>
          <w:sz w:val="32"/>
          <w:szCs w:val="32"/>
          <w:u w:val="none"/>
        </w:rPr>
        <w:t>当事人</w:t>
      </w:r>
      <w:r>
        <w:rPr>
          <w:rFonts w:hint="eastAsia" w:ascii="仿宋_GB2312" w:hAnsi="仿宋" w:eastAsia="仿宋_GB2312"/>
          <w:color w:val="000000"/>
          <w:sz w:val="32"/>
          <w:szCs w:val="32"/>
          <w:u w:val="none"/>
          <w:lang w:eastAsia="zh-CN"/>
        </w:rPr>
        <w:t>销售的小白菜不合格项目为“毒死蜱”，该项目所属指标为农药指标，标准值要求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0.1mg/kg,检出为0.50mg/kg，当事人经营“毒死蜱”项目不合格的小白菜，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  <w:lang w:eastAsia="zh-CN"/>
        </w:rPr>
        <w:t>违反了《中华人民共和国食品安全法》第三十四条第（二）项的规定。货值金额为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  <w:lang w:eastAsia="zh-CN"/>
        </w:rPr>
        <w:t>元，不足一万元，根据《中华人民共和国食品安全法》第一百二十四条第一款的规定处罚。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</w:rPr>
        <w:t>鉴于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  <w:lang w:eastAsia="zh-CN"/>
        </w:rPr>
        <w:t>当事人销售的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</w:rPr>
        <w:t>涉案产品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  <w:lang w:eastAsia="zh-CN"/>
        </w:rPr>
        <w:t>农药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 w:color="auto"/>
          <w:lang w:eastAsia="zh-CN"/>
        </w:rPr>
        <w:t>毒死蜱含量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</w:rPr>
        <w:t>是用肉眼无法判断，属于非经检测不能得知，难以发现该产品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  <w:lang w:eastAsia="zh-CN"/>
        </w:rPr>
        <w:t>农药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 w:color="auto"/>
          <w:lang w:eastAsia="zh-CN"/>
        </w:rPr>
        <w:t>毒死蜱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</w:rPr>
        <w:t>是否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  <w:lang w:eastAsia="zh-CN"/>
        </w:rPr>
        <w:t>符合食品安全标准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</w:rPr>
        <w:t>的问题，并无主观恶意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  <w:lang w:eastAsia="zh-CN"/>
        </w:rPr>
        <w:t>，违法行为轻微，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</w:rPr>
        <w:t>在得知其销售的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  <w:lang w:eastAsia="zh-CN"/>
        </w:rPr>
        <w:t>“小白菜”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</w:rPr>
        <w:t>抽检不合格的情况下，能积极主动配合执法人员调查，且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  <w:lang w:eastAsia="zh-CN"/>
        </w:rPr>
        <w:t>其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</w:rPr>
        <w:t>能如实说明其进货来源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</w:rPr>
        <w:t>能提供供货商的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  <w:lang w:eastAsia="zh-CN"/>
        </w:rPr>
        <w:t>营业执照</w:t>
      </w:r>
      <w:r>
        <w:rPr>
          <w:rFonts w:hint="eastAsia" w:ascii="仿宋_GB2312" w:hAnsi="仿宋_GB2312" w:eastAsia="仿宋_GB2312" w:cs="仿宋_GB2312"/>
          <w:i w:val="0"/>
          <w:iCs/>
          <w:color w:val="231F20"/>
          <w:sz w:val="32"/>
          <w:szCs w:val="32"/>
          <w:highlight w:val="none"/>
          <w:u w:val="none" w:color="auto"/>
          <w:lang w:eastAsia="zh-CN"/>
        </w:rPr>
        <w:t>和进货单据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</w:rPr>
        <w:t>材料，已履行索证索票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  <w:lang w:eastAsia="zh-CN"/>
        </w:rPr>
        <w:t>和进货查验的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</w:rPr>
        <w:t>法定义务；危害后果较为轻微，配合执法人员查处其违法行为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  <w:lang w:eastAsia="zh-CN"/>
        </w:rPr>
        <w:t>，符合《中华人民共和国食品安全法》第一百三十六条的规定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 w:color="auto"/>
          <w:lang w:eastAsia="zh-CN"/>
          <w14:textFill>
            <w14:solidFill>
              <w14:schemeClr w14:val="tx1"/>
            </w14:solidFill>
          </w14:textFill>
        </w:rPr>
        <w:t>涉案批次产品已全部销售完毕，无法进行没收，根据《中华人民共和国食品安全法》第一百三十六条的规定，我局对当事人免予行政处罚。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u w:val="none"/>
          <w:lang w:eastAsia="zh-CN"/>
        </w:rPr>
        <w:t>根据检验报告书编号为食监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u w:val="none"/>
          <w:lang w:val="en-US" w:eastAsia="zh-CN"/>
        </w:rPr>
        <w:t>2019-11-2382的不合格报告说明，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u w:val="none"/>
        </w:rPr>
        <w:t>当事人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u w:val="none"/>
          <w:lang w:eastAsia="zh-CN"/>
        </w:rPr>
        <w:t>销售的豆芽项目不合格为“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  <w:lang w:val="en-US" w:eastAsia="zh-CN"/>
        </w:rPr>
        <w:t>4-氯苯氧乙酸钠（以4-氯苯氧乙酸计）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u w:val="none"/>
          <w:lang w:eastAsia="zh-CN"/>
        </w:rPr>
        <w:t>”，该项目所属指标为农药残留，标准值要求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eastAsia="zh-CN"/>
        </w:rPr>
        <w:t>为不得使用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,检出为0.0346mg/kg，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u w:val="none"/>
          <w:lang w:eastAsia="zh-CN"/>
        </w:rPr>
        <w:t>当事人经营含有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4-氯苯氧乙酸钠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u w:val="none"/>
          <w:lang w:eastAsia="zh-CN"/>
        </w:rPr>
        <w:t>豆芽的行为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u w:val="none"/>
        </w:rPr>
        <w:t>，违反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u w:val="none"/>
          <w:lang w:eastAsia="zh-CN"/>
        </w:rPr>
        <w:t>了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u w:val="none"/>
        </w:rPr>
        <w:t>《中华人民共和国食品安全法》第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u w:val="none"/>
          <w:lang w:eastAsia="zh-CN"/>
        </w:rPr>
        <w:t>三十四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u w:val="none"/>
        </w:rPr>
        <w:t>条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u w:val="none"/>
          <w:lang w:eastAsia="zh-CN"/>
        </w:rPr>
        <w:t>第（一）项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u w:val="none"/>
        </w:rPr>
        <w:t>的规定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eastAsia="zh-CN"/>
        </w:rPr>
        <w:t>及国家食品药品监督管理总局　农业部　国家卫生和计划生育委员会关于豆芽生产过程中禁止使用6-苄基腺嘌呤等物质的公告(2015年第11号)的规定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  <w:lang w:val="en-US" w:eastAsia="zh-CN"/>
        </w:rPr>
        <w:t>鉴于当事人经营的豆芽是否含有4-氯苯氧乙酸钠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</w:rPr>
        <w:t>用肉眼无法判断，属于非经检测不能得知，并无主观恶意，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  <w:lang w:eastAsia="zh-CN"/>
        </w:rPr>
        <w:t>违法行为轻微，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</w:rPr>
        <w:t>在得知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  <w:lang w:eastAsia="zh-CN"/>
        </w:rPr>
        <w:t>豆芽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</w:rPr>
        <w:t>抽检不合格的情况下，能积极主动配合执法人员调查，且当事人能提供供货商的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  <w:lang w:eastAsia="zh-CN"/>
        </w:rPr>
        <w:t>营业执照和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</w:rPr>
        <w:t>进货单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  <w:lang w:eastAsia="zh-CN"/>
        </w:rPr>
        <w:t>据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</w:rPr>
        <w:t>材料，已履行索证索票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  <w:lang w:eastAsia="zh-CN"/>
        </w:rPr>
        <w:t>和进货查验的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</w:rPr>
        <w:t>法定义务；危害后果较为轻微，配合执法人员查处其违法行为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，以上情节符合减轻处罚的条件。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  <w:lang w:eastAsia="zh-CN"/>
        </w:rPr>
        <w:t>依据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</w:rPr>
        <w:t>《中华人民共和国食品安全法》第一百二十三条第一款第（一）项和《中华人民共和国行政处罚法》第二十七条第一款第（四）项的规定，涉案批次产品已全部销售完毕无法进行没收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  <w:lang w:eastAsia="zh-CN"/>
        </w:rPr>
        <w:t>，我局对当事人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</w:rPr>
        <w:t>作出以下减轻行政处罚：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  <w:lang w:val="en-US" w:eastAsia="zh-CN"/>
        </w:rPr>
        <w:t>1.没收违法所得￥30元（人民叁拾元整）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2.罚款￥2000元（人民币贰仟元整）；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type w:val="continuous"/>
          <w:pgSz w:w="11906" w:h="16838"/>
          <w:pgMar w:top="1440" w:right="1800" w:bottom="1440" w:left="1800" w:header="851" w:footer="992" w:gutter="0"/>
          <w:pgNumType w:fmt="decimal"/>
          <w:cols w:space="425" w:num="1"/>
          <w:titlePg/>
          <w:docGrid w:type="lines" w:linePitch="312" w:charSpace="0"/>
        </w:sectPr>
      </w:pPr>
    </w:p>
    <w:p>
      <w:pPr>
        <w:pStyle w:val="3"/>
        <w:keepNext w:val="0"/>
        <w:keepLines w:val="0"/>
        <w:pageBreakBefore w:val="0"/>
        <w:widowControl w:val="0"/>
        <w:tabs>
          <w:tab w:val="left" w:pos="8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" w:eastAsia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罚没合计￥2030元（人民币贰仟零叁拾元整）。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  <w:lang w:val="en-US" w:eastAsia="zh-CN"/>
        </w:rPr>
        <w:t>你（单位）应在接到本处罚决定书之日起15日内前往非税收入代收银行办理缴纳罚款手续。逾期不缴纳罚没款的，根据《中华人民共和国行政处罚法》第五十一条第一项的规定，从逾期之日起，可每日按罚款数额的3%加处罚款，并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31F20"/>
          <w:sz w:val="32"/>
          <w:szCs w:val="32"/>
          <w:highlight w:val="none"/>
          <w:u w:val="none" w:color="auto"/>
          <w:lang w:val="en-US" w:eastAsia="zh-CN"/>
        </w:rPr>
        <w:t>如不服本决定，可在接到本决定书之日起60日内向广州市黄埔区人民政府或广州市市场监督管理局申请复议，复议机关地址和电话分别为广州市黄埔区水西路12号A栋2楼公共法律服务中心、电话020-82378878，广州市天河区天河路112号，电话：85590146。也可以收到本决定书之日起6个月内向广州铁路运输法院提起行政诉讼。申请行政复议或提起行政诉讼期间，行政处罚不停止执行。</w:t>
      </w:r>
    </w:p>
    <w:p>
      <w:pPr>
        <w:spacing w:line="480" w:lineRule="exact"/>
        <w:ind w:firstLine="588" w:firstLineChars="200"/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 w:color="231F20"/>
          <w:lang w:eastAsia="zh-CN"/>
        </w:rPr>
      </w:pPr>
    </w:p>
    <w:p>
      <w:pPr>
        <w:pStyle w:val="3"/>
        <w:tabs>
          <w:tab w:val="left" w:pos="5003"/>
        </w:tabs>
        <w:ind w:left="0"/>
        <w:jc w:val="right"/>
        <w:rPr>
          <w:rFonts w:hint="eastAsia" w:ascii="仿宋_GB2312" w:hAnsi="仿宋_GB2312" w:eastAsia="仿宋_GB2312" w:cs="仿宋_GB2312"/>
          <w:color w:val="231F20"/>
          <w:u w:val="none" w:color="auto"/>
          <w:lang w:eastAsia="zh-CN"/>
        </w:rPr>
      </w:pPr>
    </w:p>
    <w:p>
      <w:pPr>
        <w:pStyle w:val="3"/>
        <w:tabs>
          <w:tab w:val="left" w:pos="5003"/>
        </w:tabs>
        <w:ind w:left="0"/>
        <w:jc w:val="right"/>
        <w:rPr>
          <w:rFonts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u w:val="none" w:color="auto"/>
          <w:lang w:eastAsia="zh-CN"/>
        </w:rPr>
        <w:t>广州市黄埔区</w:t>
      </w:r>
      <w:r>
        <w:rPr>
          <w:rFonts w:hint="eastAsia" w:ascii="仿宋_GB2312" w:hAnsi="仿宋_GB2312" w:eastAsia="仿宋_GB2312" w:cs="仿宋_GB2312"/>
          <w:color w:val="231F20"/>
          <w:lang w:eastAsia="zh-CN"/>
        </w:rPr>
        <w:t>市场监督管理局</w:t>
      </w:r>
    </w:p>
    <w:p>
      <w:pPr>
        <w:pStyle w:val="3"/>
        <w:spacing w:before="173"/>
        <w:ind w:left="4043"/>
        <w:jc w:val="center"/>
        <w:rPr>
          <w:rFonts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25"/>
          <w:lang w:eastAsia="zh-CN"/>
        </w:rPr>
        <w:t>（印</w:t>
      </w:r>
      <w:r>
        <w:rPr>
          <w:rFonts w:hint="eastAsia" w:ascii="仿宋_GB2312" w:hAnsi="仿宋_GB2312" w:eastAsia="仿宋_GB2312" w:cs="仿宋_GB2312"/>
          <w:color w:val="231F20"/>
          <w:spacing w:val="-78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231F20"/>
          <w:spacing w:val="-25"/>
          <w:lang w:eastAsia="zh-CN"/>
        </w:rPr>
        <w:t>章）</w:t>
      </w:r>
    </w:p>
    <w:p>
      <w:pPr>
        <w:pStyle w:val="3"/>
        <w:tabs>
          <w:tab w:val="left" w:pos="5083"/>
          <w:tab w:val="left" w:pos="6043"/>
        </w:tabs>
        <w:spacing w:before="173"/>
        <w:ind w:left="4123"/>
        <w:jc w:val="center"/>
        <w:rPr>
          <w:rFonts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231F20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231F2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231F20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231F2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231F20"/>
          <w:lang w:eastAsia="zh-CN"/>
        </w:rPr>
        <w:t>日</w:t>
      </w:r>
    </w:p>
    <w:p>
      <w:pPr>
        <w:pStyle w:val="3"/>
        <w:spacing w:before="239"/>
        <w:ind w:left="103"/>
        <w:jc w:val="both"/>
        <w:rPr>
          <w:rFonts w:cs="宋体"/>
          <w:color w:val="231F20"/>
          <w:spacing w:val="-6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6"/>
          <w:lang w:eastAsia="zh-CN"/>
        </w:rPr>
        <w:t>（市场监督管理部门将依法向社会公示本行政处罚决定信息）</w:t>
      </w:r>
    </w:p>
    <w:sectPr>
      <w:headerReference r:id="rId7" w:type="first"/>
      <w:footerReference r:id="rId8" w:type="first"/>
      <w:pgSz w:w="11906" w:h="16838"/>
      <w:pgMar w:top="1440" w:right="1800" w:bottom="1440" w:left="1800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2604770</wp:posOffset>
              </wp:positionH>
              <wp:positionV relativeFrom="paragraph">
                <wp:posOffset>171450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val="en-US" w:eastAsia="zh-CN"/>
                            </w:rPr>
                            <w:t xml:space="preserve"> / </w:t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val="en-US" w:eastAsia="zh-CN"/>
                            </w:rPr>
                            <w:instrText xml:space="preserve"> NUMPAGES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val="en-US"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1pt;margin-top:13.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Vuu/rXAAAACgEAAA8AAAAAAAAA&#10;AQAgAAAAIgAAAGRycy9kb3ducmV2LnhtbFBLAQIUABQAAAAIAIdO4kBK283/EgIAABMEAAAOAAAA&#10;AAAAAAEAIAAAACY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36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36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36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36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4"/>
                        <w:szCs w:val="36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36"/>
                        <w:lang w:val="en-US" w:eastAsia="zh-CN"/>
                      </w:rPr>
                      <w:t xml:space="preserve"> / </w:t>
                    </w:r>
                    <w:r>
                      <w:rPr>
                        <w:rFonts w:hint="eastAsia"/>
                        <w:sz w:val="24"/>
                        <w:szCs w:val="36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36"/>
                        <w:lang w:val="en-US" w:eastAsia="zh-CN"/>
                      </w:rPr>
                      <w:instrText xml:space="preserve"> NUMPAGES \* MERGEFORMAT </w:instrText>
                    </w:r>
                    <w:r>
                      <w:rPr>
                        <w:rFonts w:hint="eastAsia"/>
                        <w:sz w:val="24"/>
                        <w:szCs w:val="36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36"/>
                        <w:lang w:val="en-US" w:eastAsia="zh-CN"/>
                      </w:rPr>
                      <w:t>4</w:t>
                    </w:r>
                    <w:r>
                      <w:rPr>
                        <w:rFonts w:hint="eastAsia"/>
                        <w:sz w:val="24"/>
                        <w:szCs w:val="36"/>
                        <w:lang w:val="en-US"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Lines="0" w:afterLines="0"/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2604770</wp:posOffset>
              </wp:positionH>
              <wp:positionV relativeFrom="paragraph">
                <wp:posOffset>285750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val="en-US" w:eastAsia="zh-CN"/>
                            </w:rPr>
                            <w:t xml:space="preserve"> / </w:t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val="en-US" w:eastAsia="zh-CN"/>
                            </w:rPr>
                            <w:instrText xml:space="preserve"> NUMPAGES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val="en-US"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1pt;margin-top:22.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zB7JtcAAAAKAQAADwAAAAAA&#10;AAABACAAAAAiAAAAZHJzL2Rvd25yZXYueG1sUEsBAhQAFAAAAAgAh07iQMDe54oUAgAAEwQAAA4A&#10;AAAAAAAAAQAgAAAAJg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36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36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36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36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4"/>
                        <w:szCs w:val="36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36"/>
                        <w:lang w:val="en-US" w:eastAsia="zh-CN"/>
                      </w:rPr>
                      <w:t xml:space="preserve"> / </w:t>
                    </w:r>
                    <w:r>
                      <w:rPr>
                        <w:rFonts w:hint="eastAsia"/>
                        <w:sz w:val="24"/>
                        <w:szCs w:val="36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36"/>
                        <w:lang w:val="en-US" w:eastAsia="zh-CN"/>
                      </w:rPr>
                      <w:instrText xml:space="preserve"> NUMPAGES \* MERGEFORMAT </w:instrText>
                    </w:r>
                    <w:r>
                      <w:rPr>
                        <w:rFonts w:hint="eastAsia"/>
                        <w:sz w:val="24"/>
                        <w:szCs w:val="36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36"/>
                        <w:lang w:val="en-US" w:eastAsia="zh-CN"/>
                      </w:rPr>
                      <w:t>4</w:t>
                    </w:r>
                    <w:r>
                      <w:rPr>
                        <w:rFonts w:hint="eastAsia"/>
                        <w:sz w:val="24"/>
                        <w:szCs w:val="36"/>
                        <w:lang w:val="en-US"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Lines="0" w:afterLines="0"/>
    </w:pPr>
    <w:r>
      <w:rPr>
        <w:rFonts w:hint="eastAsia"/>
        <w:sz w:val="32"/>
        <w:u w:val="none"/>
        <w:lang w:eastAsia="zh-CN"/>
      </w:rPr>
      <w:t>本文书一式三份，一份送达，一份归档，一份交法规。</w:t>
    </w:r>
    <w:r>
      <w:rPr>
        <w:sz w:val="32"/>
        <w:u w:val="none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margin">
                <wp:posOffset>2604770</wp:posOffset>
              </wp:positionH>
              <wp:positionV relativeFrom="paragraph">
                <wp:posOffset>348615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spacing w:beforeLines="0" w:afterLines="0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val="en-US" w:eastAsia="zh-CN"/>
                            </w:rPr>
                            <w:t xml:space="preserve"> / </w:t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val="en-US" w:eastAsia="zh-CN"/>
                            </w:rPr>
                            <w:instrText xml:space="preserve"> NUMPAGES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val="en-US"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1pt;margin-top:27.45pt;height:144pt;width:144pt;mso-position-horizontal-relative:margin;mso-wrap-style:none;z-index:251681792;mso-width-relative:page;mso-height-relative:page;" filled="f" stroked="f" coordsize="21600,21600" o:gfxdata="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GXO9r2AAAAAoBAAAPAAAA&#10;AAAAAAEAIAAAACIAAABkcnMvZG93bnJldi54bWxQSwECFAAUAAAACACHTuJAm9IMLxUCAAATBAAA&#10;DgAAAAAAAAABACAAAAAn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spacing w:beforeLines="0" w:afterLines="0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36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36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36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36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4"/>
                        <w:szCs w:val="36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36"/>
                        <w:lang w:val="en-US" w:eastAsia="zh-CN"/>
                      </w:rPr>
                      <w:t xml:space="preserve"> / </w:t>
                    </w:r>
                    <w:r>
                      <w:rPr>
                        <w:rFonts w:hint="eastAsia"/>
                        <w:sz w:val="24"/>
                        <w:szCs w:val="36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36"/>
                        <w:lang w:val="en-US" w:eastAsia="zh-CN"/>
                      </w:rPr>
                      <w:instrText xml:space="preserve"> NUMPAGES \* MERGEFORMAT </w:instrText>
                    </w:r>
                    <w:r>
                      <w:rPr>
                        <w:rFonts w:hint="eastAsia"/>
                        <w:sz w:val="24"/>
                        <w:szCs w:val="36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36"/>
                        <w:lang w:val="en-US" w:eastAsia="zh-CN"/>
                      </w:rPr>
                      <w:t>4</w:t>
                    </w:r>
                    <w:r>
                      <w:rPr>
                        <w:rFonts w:hint="eastAsia"/>
                        <w:sz w:val="24"/>
                        <w:szCs w:val="36"/>
                        <w:lang w:val="en-US"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tabs>
        <w:tab w:val="left" w:pos="1279"/>
      </w:tabs>
      <w:spacing w:line="417" w:lineRule="exact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none" w:color="auto" w:sz="0" w:space="0"/>
      </w:pBdr>
      <w:tabs>
        <w:tab w:val="left" w:pos="1279"/>
      </w:tabs>
      <w:kinsoku/>
      <w:wordWrap/>
      <w:overflowPunct/>
      <w:topLinePunct w:val="0"/>
      <w:autoSpaceDE/>
      <w:autoSpaceDN/>
      <w:bidi w:val="0"/>
      <w:adjustRightInd/>
      <w:snapToGrid/>
      <w:spacing w:line="560" w:lineRule="exact"/>
      <w:ind w:left="0"/>
      <w:jc w:val="center"/>
      <w:textAlignment w:val="auto"/>
      <w:outlineLvl w:val="9"/>
      <w:rPr>
        <w:rFonts w:hint="eastAsia"/>
        <w:lang w:eastAsia="zh-CN"/>
      </w:rPr>
    </w:pPr>
    <w:r>
      <w:rPr>
        <w:rFonts w:hint="eastAsia" w:ascii="方正小标宋简体" w:hAnsi="方正小标宋简体" w:eastAsia="方正小标宋简体" w:cs="方正小标宋简体"/>
        <w:b/>
        <w:bCs/>
        <w:color w:val="231F20"/>
        <w:sz w:val="44"/>
        <w:szCs w:val="44"/>
        <w:u w:val="none" w:color="auto"/>
        <w:lang w:eastAsia="zh-CN"/>
      </w:rPr>
      <w:t>广州市黄埔区市场监督管理局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20C20"/>
    <w:rsid w:val="003F5D6A"/>
    <w:rsid w:val="004575DF"/>
    <w:rsid w:val="00650E7F"/>
    <w:rsid w:val="00880969"/>
    <w:rsid w:val="00890C13"/>
    <w:rsid w:val="00B54E78"/>
    <w:rsid w:val="00B7016E"/>
    <w:rsid w:val="00B77020"/>
    <w:rsid w:val="00C443C5"/>
    <w:rsid w:val="00E13CC8"/>
    <w:rsid w:val="013F11AA"/>
    <w:rsid w:val="01621C17"/>
    <w:rsid w:val="0242260B"/>
    <w:rsid w:val="025975A2"/>
    <w:rsid w:val="02BD613A"/>
    <w:rsid w:val="02C90413"/>
    <w:rsid w:val="02FE1114"/>
    <w:rsid w:val="03353955"/>
    <w:rsid w:val="03C608C3"/>
    <w:rsid w:val="040108A9"/>
    <w:rsid w:val="04FB4F06"/>
    <w:rsid w:val="0516152E"/>
    <w:rsid w:val="058B6C40"/>
    <w:rsid w:val="071E41ED"/>
    <w:rsid w:val="0757451C"/>
    <w:rsid w:val="083A604A"/>
    <w:rsid w:val="08917878"/>
    <w:rsid w:val="08F92EDF"/>
    <w:rsid w:val="09826D69"/>
    <w:rsid w:val="09DB7C68"/>
    <w:rsid w:val="0CFB7FBD"/>
    <w:rsid w:val="0D0011FB"/>
    <w:rsid w:val="0D302C75"/>
    <w:rsid w:val="0D3541E6"/>
    <w:rsid w:val="0D9239F3"/>
    <w:rsid w:val="0F2619EA"/>
    <w:rsid w:val="0FCF1CA0"/>
    <w:rsid w:val="103F4D90"/>
    <w:rsid w:val="10A55BAF"/>
    <w:rsid w:val="10DA70E9"/>
    <w:rsid w:val="11F95EB8"/>
    <w:rsid w:val="12085BB7"/>
    <w:rsid w:val="13D4198A"/>
    <w:rsid w:val="145D4E8F"/>
    <w:rsid w:val="145E3008"/>
    <w:rsid w:val="145F356B"/>
    <w:rsid w:val="14971A3D"/>
    <w:rsid w:val="150C03CF"/>
    <w:rsid w:val="151427B4"/>
    <w:rsid w:val="15320382"/>
    <w:rsid w:val="157715F3"/>
    <w:rsid w:val="169A4EC0"/>
    <w:rsid w:val="169F6D62"/>
    <w:rsid w:val="19874BD8"/>
    <w:rsid w:val="1A0775CE"/>
    <w:rsid w:val="1A3101D5"/>
    <w:rsid w:val="1AC5027A"/>
    <w:rsid w:val="1C541AEB"/>
    <w:rsid w:val="1FDE362C"/>
    <w:rsid w:val="2132358A"/>
    <w:rsid w:val="21A90CF1"/>
    <w:rsid w:val="22CE1DF9"/>
    <w:rsid w:val="23791095"/>
    <w:rsid w:val="23B400A1"/>
    <w:rsid w:val="23B91B73"/>
    <w:rsid w:val="242279B4"/>
    <w:rsid w:val="26985882"/>
    <w:rsid w:val="26BA2FC4"/>
    <w:rsid w:val="26CA28D2"/>
    <w:rsid w:val="27064A0E"/>
    <w:rsid w:val="27F62010"/>
    <w:rsid w:val="28833387"/>
    <w:rsid w:val="28BD550A"/>
    <w:rsid w:val="29BE1982"/>
    <w:rsid w:val="29EA752C"/>
    <w:rsid w:val="2AD724C1"/>
    <w:rsid w:val="2B1555D9"/>
    <w:rsid w:val="2C7617C4"/>
    <w:rsid w:val="2C8D3089"/>
    <w:rsid w:val="2D1E1B7C"/>
    <w:rsid w:val="2DEF3398"/>
    <w:rsid w:val="2DF33B9A"/>
    <w:rsid w:val="2F9C06FE"/>
    <w:rsid w:val="2FD07F4D"/>
    <w:rsid w:val="303345EA"/>
    <w:rsid w:val="31FB19BA"/>
    <w:rsid w:val="325C5ECC"/>
    <w:rsid w:val="334959CF"/>
    <w:rsid w:val="33BF64FA"/>
    <w:rsid w:val="33D05EC0"/>
    <w:rsid w:val="353D34E9"/>
    <w:rsid w:val="35A47E51"/>
    <w:rsid w:val="36F408F4"/>
    <w:rsid w:val="381774B7"/>
    <w:rsid w:val="39996E94"/>
    <w:rsid w:val="3A23520B"/>
    <w:rsid w:val="3A256C76"/>
    <w:rsid w:val="3A6470A5"/>
    <w:rsid w:val="3BF45202"/>
    <w:rsid w:val="3C7202D6"/>
    <w:rsid w:val="3CDB542D"/>
    <w:rsid w:val="3D0C6DA6"/>
    <w:rsid w:val="3E8521C8"/>
    <w:rsid w:val="3EB76447"/>
    <w:rsid w:val="3EB9210B"/>
    <w:rsid w:val="3ED359DC"/>
    <w:rsid w:val="3F024B3F"/>
    <w:rsid w:val="3F210D2B"/>
    <w:rsid w:val="3F700895"/>
    <w:rsid w:val="3FC1360D"/>
    <w:rsid w:val="3FFF58EB"/>
    <w:rsid w:val="40273BF1"/>
    <w:rsid w:val="40995B83"/>
    <w:rsid w:val="40D27609"/>
    <w:rsid w:val="41295A17"/>
    <w:rsid w:val="415914E7"/>
    <w:rsid w:val="41ED241D"/>
    <w:rsid w:val="41FE3637"/>
    <w:rsid w:val="42126FC5"/>
    <w:rsid w:val="42131DAF"/>
    <w:rsid w:val="43390269"/>
    <w:rsid w:val="43E1595A"/>
    <w:rsid w:val="44343573"/>
    <w:rsid w:val="447725B5"/>
    <w:rsid w:val="44F914B6"/>
    <w:rsid w:val="457505BA"/>
    <w:rsid w:val="45DC6C85"/>
    <w:rsid w:val="4654057D"/>
    <w:rsid w:val="46D86528"/>
    <w:rsid w:val="46EF028C"/>
    <w:rsid w:val="47980DCA"/>
    <w:rsid w:val="47E4066B"/>
    <w:rsid w:val="4841374D"/>
    <w:rsid w:val="4A565B6B"/>
    <w:rsid w:val="4ABD5145"/>
    <w:rsid w:val="4BB00158"/>
    <w:rsid w:val="4E4105F6"/>
    <w:rsid w:val="4FC96895"/>
    <w:rsid w:val="4FCB2800"/>
    <w:rsid w:val="4FDE05F6"/>
    <w:rsid w:val="500542D7"/>
    <w:rsid w:val="501F3254"/>
    <w:rsid w:val="502E76AD"/>
    <w:rsid w:val="50710ED6"/>
    <w:rsid w:val="50A94F1A"/>
    <w:rsid w:val="50FD24D1"/>
    <w:rsid w:val="526C0B18"/>
    <w:rsid w:val="52B16E02"/>
    <w:rsid w:val="532A160B"/>
    <w:rsid w:val="539C315C"/>
    <w:rsid w:val="5607633B"/>
    <w:rsid w:val="563C613A"/>
    <w:rsid w:val="56B136E2"/>
    <w:rsid w:val="58546618"/>
    <w:rsid w:val="58B44015"/>
    <w:rsid w:val="58B6216E"/>
    <w:rsid w:val="58E65B41"/>
    <w:rsid w:val="58E83914"/>
    <w:rsid w:val="590C1E91"/>
    <w:rsid w:val="5AB121EF"/>
    <w:rsid w:val="5ABB6BE9"/>
    <w:rsid w:val="5B15669D"/>
    <w:rsid w:val="5D484D19"/>
    <w:rsid w:val="5EFA4A3E"/>
    <w:rsid w:val="5F2101DB"/>
    <w:rsid w:val="5FFB2452"/>
    <w:rsid w:val="61496C4A"/>
    <w:rsid w:val="61760E42"/>
    <w:rsid w:val="62620B36"/>
    <w:rsid w:val="62AE3F35"/>
    <w:rsid w:val="633B7B91"/>
    <w:rsid w:val="64723D4B"/>
    <w:rsid w:val="64814ED6"/>
    <w:rsid w:val="64AD6E71"/>
    <w:rsid w:val="650F17C9"/>
    <w:rsid w:val="65352582"/>
    <w:rsid w:val="65CB218B"/>
    <w:rsid w:val="65E85CE8"/>
    <w:rsid w:val="66307868"/>
    <w:rsid w:val="665821AF"/>
    <w:rsid w:val="671900DE"/>
    <w:rsid w:val="677B72D2"/>
    <w:rsid w:val="678E301D"/>
    <w:rsid w:val="67DF4273"/>
    <w:rsid w:val="68344752"/>
    <w:rsid w:val="684411C3"/>
    <w:rsid w:val="69083240"/>
    <w:rsid w:val="6A7D454C"/>
    <w:rsid w:val="6B8B6D50"/>
    <w:rsid w:val="6B9E4DB5"/>
    <w:rsid w:val="6BC22825"/>
    <w:rsid w:val="6BD372B8"/>
    <w:rsid w:val="6C247D8E"/>
    <w:rsid w:val="6C6A078F"/>
    <w:rsid w:val="6CB76D09"/>
    <w:rsid w:val="6CEC00FD"/>
    <w:rsid w:val="6CEE0A9F"/>
    <w:rsid w:val="6D3B761E"/>
    <w:rsid w:val="6D995E25"/>
    <w:rsid w:val="6E132C43"/>
    <w:rsid w:val="6E3C30ED"/>
    <w:rsid w:val="6E942027"/>
    <w:rsid w:val="6F4F0C42"/>
    <w:rsid w:val="6F82181D"/>
    <w:rsid w:val="6F972BA7"/>
    <w:rsid w:val="6FFD3FAD"/>
    <w:rsid w:val="70156691"/>
    <w:rsid w:val="703006D4"/>
    <w:rsid w:val="7045640E"/>
    <w:rsid w:val="70756780"/>
    <w:rsid w:val="708A44A7"/>
    <w:rsid w:val="708D6C5A"/>
    <w:rsid w:val="70A8553A"/>
    <w:rsid w:val="710B4229"/>
    <w:rsid w:val="718505C7"/>
    <w:rsid w:val="73055612"/>
    <w:rsid w:val="746E641A"/>
    <w:rsid w:val="74854ACC"/>
    <w:rsid w:val="76894723"/>
    <w:rsid w:val="7699546B"/>
    <w:rsid w:val="77AC0FEA"/>
    <w:rsid w:val="77B97C4B"/>
    <w:rsid w:val="78187176"/>
    <w:rsid w:val="79006826"/>
    <w:rsid w:val="795D5E5E"/>
    <w:rsid w:val="7B35557E"/>
    <w:rsid w:val="7C023D92"/>
    <w:rsid w:val="7C7372F7"/>
    <w:rsid w:val="7D222F36"/>
    <w:rsid w:val="7DB910AA"/>
    <w:rsid w:val="7FB4378E"/>
    <w:rsid w:val="7FE80228"/>
    <w:rsid w:val="7F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ascii="宋体" w:hAnsi="宋体"/>
      <w:sz w:val="42"/>
      <w:szCs w:val="4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pPr>
      <w:ind w:left="220"/>
    </w:pPr>
    <w:rPr>
      <w:rFonts w:ascii="宋体" w:hAnsi="宋体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customStyle="1" w:styleId="8">
    <w:name w:val="p17"/>
    <w:basedOn w:val="1"/>
    <w:qFormat/>
    <w:uiPriority w:val="0"/>
    <w:pPr>
      <w:widowControl/>
      <w:spacing w:before="100" w:after="100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4</Pages>
  <Words>2106</Words>
  <Characters>189</Characters>
  <Lines>1</Lines>
  <Paragraphs>4</Paragraphs>
  <TotalTime>4</TotalTime>
  <ScaleCrop>false</ScaleCrop>
  <LinksUpToDate>false</LinksUpToDate>
  <CharactersWithSpaces>2291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2019-04-16T01:24:00Z</dcterms:created>
  <dc:creator>派驻人员</dc:creator>
  <cp:lastModifiedBy>Administrator</cp:lastModifiedBy>
  <cp:lastPrinted>2020-02-02T02:36:00Z</cp:lastPrinted>
  <dcterms:modified xsi:type="dcterms:W3CDTF">2020-02-19T01:28:21Z</dcterms:modified>
  <dc:title>行政处罚决定书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