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kinsoku/>
        <w:overflowPunct/>
        <w:topLinePunct w:val="0"/>
        <w:autoSpaceDE/>
        <w:bidi w:val="0"/>
        <w:adjustRightInd/>
        <w:snapToGrid/>
        <w:spacing w:line="360" w:lineRule="auto"/>
        <w:jc w:val="center"/>
        <w:rPr>
          <w:rFonts w:ascii="黑体" w:hAnsi="黑体" w:eastAsia="黑体"/>
          <w:sz w:val="44"/>
          <w:szCs w:val="44"/>
        </w:rPr>
      </w:pPr>
      <w:r>
        <w:rPr>
          <w:rFonts w:hint="eastAsia" w:ascii="黑体" w:hAnsi="黑体" w:eastAsia="黑体"/>
          <w:sz w:val="44"/>
          <w:szCs w:val="44"/>
        </w:rPr>
        <w:t>广州市黄埔区市场监督管理局</w:t>
      </w:r>
    </w:p>
    <w:p>
      <w:pPr>
        <w:pStyle w:val="10"/>
        <w:keepNext w:val="0"/>
        <w:keepLines w:val="0"/>
        <w:pageBreakBefore w:val="0"/>
        <w:kinsoku/>
        <w:overflowPunct/>
        <w:topLinePunct w:val="0"/>
        <w:autoSpaceDE/>
        <w:bidi w:val="0"/>
        <w:adjustRightInd/>
        <w:snapToGrid/>
        <w:spacing w:line="360" w:lineRule="auto"/>
        <w:jc w:val="center"/>
        <w:rPr>
          <w:rFonts w:ascii="黑体" w:hAnsi="黑体" w:eastAsia="黑体"/>
          <w:sz w:val="44"/>
          <w:szCs w:val="44"/>
        </w:rPr>
      </w:pPr>
      <w:r>
        <w:rPr>
          <w:rFonts w:hint="eastAsia" w:ascii="黑体" w:hAnsi="黑体" w:eastAsia="黑体"/>
          <w:sz w:val="44"/>
          <w:szCs w:val="44"/>
        </w:rPr>
        <w:t>行政处罚决定书</w:t>
      </w:r>
    </w:p>
    <w:p>
      <w:pPr>
        <w:pStyle w:val="10"/>
        <w:keepNext w:val="0"/>
        <w:keepLines w:val="0"/>
        <w:pageBreakBefore w:val="0"/>
        <w:kinsoku/>
        <w:overflowPunct/>
        <w:topLinePunct w:val="0"/>
        <w:autoSpaceDE/>
        <w:bidi w:val="0"/>
        <w:adjustRightInd/>
        <w:snapToGrid/>
        <w:spacing w:line="360" w:lineRule="auto"/>
        <w:jc w:val="center"/>
        <w:rPr>
          <w:rFonts w:ascii="仿宋_GB2312" w:eastAsia="仿宋_GB2312"/>
          <w:sz w:val="32"/>
          <w:szCs w:val="32"/>
        </w:rPr>
      </w:pPr>
      <w:r>
        <w:rPr>
          <w:rFonts w:hint="eastAsia" w:ascii="仿宋_GB2312" w:hAnsi="黑体" w:eastAsia="仿宋_GB2312"/>
          <w:sz w:val="32"/>
          <w:szCs w:val="32"/>
          <w:highlight w:val="none"/>
        </w:rPr>
        <w:t>穗埔市监</w:t>
      </w:r>
      <w:r>
        <w:rPr>
          <w:rFonts w:hint="eastAsia" w:ascii="仿宋_GB2312" w:hAnsi="黑体" w:eastAsia="仿宋_GB2312"/>
          <w:sz w:val="32"/>
          <w:szCs w:val="32"/>
          <w:highlight w:val="none"/>
          <w:lang w:eastAsia="zh-CN"/>
        </w:rPr>
        <w:t>综三</w:t>
      </w:r>
      <w:r>
        <w:rPr>
          <w:rFonts w:hint="eastAsia" w:ascii="仿宋_GB2312" w:hAnsi="黑体" w:eastAsia="仿宋_GB2312"/>
          <w:sz w:val="32"/>
          <w:szCs w:val="32"/>
          <w:highlight w:val="none"/>
        </w:rPr>
        <w:t>处字</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 xml:space="preserve">3 </w:t>
      </w:r>
      <w:r>
        <w:rPr>
          <w:rFonts w:hint="eastAsia" w:ascii="仿宋_GB2312" w:eastAsia="仿宋_GB2312"/>
          <w:sz w:val="32"/>
          <w:szCs w:val="32"/>
          <w:highlight w:val="none"/>
        </w:rPr>
        <w:t>号</w:t>
      </w:r>
    </w:p>
    <w:p>
      <w:pPr>
        <w:keepNext w:val="0"/>
        <w:keepLines w:val="0"/>
        <w:pageBreakBefore w:val="0"/>
        <w:numPr>
          <w:ilvl w:val="0"/>
          <w:numId w:val="0"/>
        </w:numPr>
        <w:kinsoku/>
        <w:overflowPunct/>
        <w:topLinePunct w:val="0"/>
        <w:autoSpaceDE/>
        <w:bidi w:val="0"/>
        <w:adjustRightInd/>
        <w:snapToGrid/>
        <w:spacing w:line="360" w:lineRule="auto"/>
        <w:jc w:val="left"/>
        <w:rPr>
          <w:rFonts w:hint="eastAsia" w:ascii="仿宋_GB2312" w:eastAsia="仿宋_GB2312"/>
          <w:sz w:val="32"/>
          <w:szCs w:val="32"/>
          <w:lang w:val="en-US" w:eastAsia="zh-CN"/>
        </w:rPr>
      </w:pPr>
      <w:r>
        <w:rPr>
          <w:rFonts w:hint="eastAsia" w:ascii="仿宋_GB2312" w:eastAsia="仿宋_GB2312"/>
          <w:sz w:val="32"/>
          <w:szCs w:val="32"/>
        </w:rPr>
        <w:t>当事人</w:t>
      </w:r>
      <w:r>
        <w:rPr>
          <w:rFonts w:hint="eastAsia" w:ascii="仿宋_GB2312" w:eastAsia="仿宋_GB2312"/>
          <w:sz w:val="32"/>
          <w:szCs w:val="32"/>
          <w:lang w:val="en-US" w:eastAsia="zh-CN"/>
        </w:rPr>
        <w:t>：傅冠凤（广州市黄埔区惠仁堂药店）</w:t>
      </w:r>
    </w:p>
    <w:p>
      <w:pPr>
        <w:pStyle w:val="11"/>
        <w:keepNext w:val="0"/>
        <w:keepLines w:val="0"/>
        <w:pageBreakBefore w:val="0"/>
        <w:kinsoku/>
        <w:overflowPunct/>
        <w:topLinePunct w:val="0"/>
        <w:autoSpaceDE/>
        <w:autoSpaceDN w:val="0"/>
        <w:bidi w:val="0"/>
        <w:adjustRightInd/>
        <w:snapToGrid/>
        <w:spacing w:line="360" w:lineRule="auto"/>
        <w:ind w:left="-640" w:right="233" w:firstLine="640"/>
        <w:jc w:val="left"/>
        <w:rPr>
          <w:rFonts w:hint="eastAsia" w:ascii="仿宋_GB2312" w:eastAsia="仿宋_GB2312"/>
          <w:sz w:val="32"/>
          <w:szCs w:val="32"/>
          <w:lang w:val="en-US" w:eastAsia="zh-CN"/>
        </w:rPr>
      </w:pPr>
      <w:r>
        <w:rPr>
          <w:rFonts w:hint="eastAsia" w:ascii="仿宋_GB2312" w:eastAsia="仿宋_GB2312"/>
          <w:sz w:val="32"/>
          <w:szCs w:val="32"/>
        </w:rPr>
        <w:t>主体资格证照名称：营业执照</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rPr>
          <w:rFonts w:hint="eastAsia" w:ascii="仿宋_GB2312" w:eastAsia="仿宋_GB2312"/>
          <w:sz w:val="32"/>
          <w:szCs w:val="32"/>
          <w:lang w:val="en-US" w:eastAsia="zh-CN"/>
        </w:rPr>
      </w:pPr>
      <w:r>
        <w:rPr>
          <w:rFonts w:hint="eastAsia" w:ascii="仿宋_GB2312" w:eastAsia="仿宋_GB2312"/>
          <w:sz w:val="32"/>
          <w:szCs w:val="32"/>
          <w:lang w:val="en-US" w:eastAsia="zh-CN"/>
        </w:rPr>
        <w:t>统一社会信用代码：92440101MA59HHAD3N</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rPr>
          <w:rFonts w:hint="eastAsia" w:ascii="仿宋_GB2312" w:eastAsia="仿宋_GB2312"/>
          <w:sz w:val="32"/>
          <w:szCs w:val="32"/>
          <w:lang w:val="en-US" w:eastAsia="zh-CN"/>
        </w:rPr>
      </w:pPr>
      <w:r>
        <w:rPr>
          <w:rFonts w:hint="eastAsia" w:ascii="仿宋_GB2312" w:eastAsia="仿宋_GB2312"/>
          <w:sz w:val="32"/>
          <w:szCs w:val="32"/>
          <w:lang w:val="en-US" w:eastAsia="zh-CN"/>
        </w:rPr>
        <w:t>住所：广州市黄埔区荔联街建益路2号101</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rPr>
          <w:rFonts w:hint="eastAsia" w:ascii="仿宋_GB2312" w:eastAsia="仿宋_GB2312"/>
          <w:sz w:val="32"/>
          <w:szCs w:val="32"/>
          <w:lang w:val="en-US" w:eastAsia="zh-CN"/>
        </w:rPr>
      </w:pPr>
      <w:r>
        <w:rPr>
          <w:rFonts w:hint="eastAsia" w:ascii="仿宋_GB2312" w:eastAsia="仿宋_GB2312"/>
          <w:sz w:val="32"/>
          <w:szCs w:val="32"/>
          <w:lang w:val="en-US" w:eastAsia="zh-CN"/>
        </w:rPr>
        <w:t>经营者：傅冠凤</w:t>
      </w:r>
    </w:p>
    <w:p>
      <w:pPr>
        <w:pStyle w:val="11"/>
        <w:keepNext w:val="0"/>
        <w:keepLines w:val="0"/>
        <w:pageBreakBefore w:val="0"/>
        <w:kinsoku/>
        <w:overflowPunct/>
        <w:topLinePunct w:val="0"/>
        <w:autoSpaceDE/>
        <w:autoSpaceDN w:val="0"/>
        <w:bidi w:val="0"/>
        <w:adjustRightInd/>
        <w:snapToGrid/>
        <w:spacing w:line="360" w:lineRule="auto"/>
        <w:ind w:left="-640" w:right="233" w:firstLine="64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rPr>
        <w:t>身份证号码：</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0" w:firstLineChars="0"/>
        <w:rPr>
          <w:rFonts w:hint="eastAsia" w:ascii="仿宋_GB2312" w:eastAsia="仿宋_GB2312"/>
          <w:sz w:val="32"/>
          <w:szCs w:val="32"/>
          <w:lang w:val="en-US" w:eastAsia="zh-CN"/>
        </w:rPr>
      </w:pPr>
      <w:r>
        <w:rPr>
          <w:rFonts w:hint="eastAsia" w:ascii="仿宋_GB2312" w:eastAsia="仿宋_GB2312" w:hAnsiTheme="minorHAnsi" w:cstheme="minorBidi"/>
          <w:kern w:val="2"/>
          <w:sz w:val="32"/>
          <w:szCs w:val="32"/>
          <w:lang w:val="en-US" w:eastAsia="zh-CN" w:bidi="ar-SA"/>
        </w:rPr>
        <w:t>联系地址：</w:t>
      </w:r>
      <w:r>
        <w:rPr>
          <w:rFonts w:hint="eastAsia" w:ascii="仿宋_GB2312" w:eastAsia="仿宋_GB2312"/>
          <w:sz w:val="30"/>
          <w:szCs w:val="30"/>
          <w:highlight w:val="none"/>
        </w:rPr>
        <w:t xml:space="preserve"> </w:t>
      </w:r>
    </w:p>
    <w:p>
      <w:pPr>
        <w:pStyle w:val="18"/>
        <w:keepNext w:val="0"/>
        <w:keepLines w:val="0"/>
        <w:pageBreakBefore w:val="0"/>
        <w:kinsoku/>
        <w:overflowPunct/>
        <w:topLinePunct w:val="0"/>
        <w:autoSpaceDE/>
        <w:bidi w:val="0"/>
        <w:adjustRightInd/>
        <w:spacing w:line="360" w:lineRule="auto"/>
        <w:ind w:firstLine="640" w:firstLineChars="200"/>
        <w:rPr>
          <w:rFonts w:hint="eastAsia" w:ascii="仿宋_GB2312" w:hAnsi="仿宋_GB2312" w:eastAsia="仿宋_GB2312"/>
          <w:sz w:val="32"/>
          <w:szCs w:val="32"/>
        </w:rPr>
      </w:pPr>
      <w:r>
        <w:rPr>
          <w:rFonts w:hint="eastAsia" w:ascii="仿宋_GB2312" w:eastAsia="仿宋_GB2312"/>
          <w:sz w:val="32"/>
          <w:szCs w:val="32"/>
          <w:lang w:val="en-US" w:eastAsia="zh-CN"/>
        </w:rPr>
        <w:t>根据广州12345政府服务热线转办函（穗12345转字第0820012713335847401号），我局</w:t>
      </w:r>
      <w:r>
        <w:rPr>
          <w:rFonts w:hint="eastAsia" w:ascii="仿宋_GB2312" w:hAnsi="仿宋_GB2312" w:eastAsia="仿宋_GB2312"/>
          <w:sz w:val="32"/>
          <w:szCs w:val="32"/>
        </w:rPr>
        <w:t>执法人员于</w:t>
      </w:r>
      <w:r>
        <w:rPr>
          <w:rFonts w:ascii="仿宋_GB2312" w:hAnsi="仿宋_GB2312" w:eastAsia="仿宋_GB2312"/>
          <w:sz w:val="32"/>
          <w:szCs w:val="32"/>
        </w:rPr>
        <w:t>2</w:t>
      </w:r>
      <w:r>
        <w:rPr>
          <w:rFonts w:hint="eastAsia" w:ascii="仿宋_GB2312" w:hAnsi="仿宋_GB2312" w:eastAsia="仿宋_GB2312"/>
          <w:sz w:val="32"/>
          <w:szCs w:val="32"/>
        </w:rPr>
        <w:t>月</w:t>
      </w:r>
      <w:r>
        <w:rPr>
          <w:rFonts w:ascii="仿宋_GB2312" w:hAnsi="仿宋_GB2312" w:eastAsia="仿宋_GB2312"/>
          <w:sz w:val="32"/>
          <w:szCs w:val="32"/>
        </w:rPr>
        <w:t>1</w:t>
      </w:r>
      <w:r>
        <w:rPr>
          <w:rFonts w:hint="eastAsia" w:ascii="仿宋_GB2312" w:hAnsi="仿宋_GB2312" w:eastAsia="仿宋_GB2312"/>
          <w:sz w:val="32"/>
          <w:szCs w:val="32"/>
        </w:rPr>
        <w:t>日至</w:t>
      </w:r>
      <w:r>
        <w:rPr>
          <w:rFonts w:hint="eastAsia" w:ascii="仿宋_GB2312" w:eastAsia="仿宋_GB2312"/>
          <w:sz w:val="32"/>
          <w:szCs w:val="32"/>
          <w:lang w:val="en-US" w:eastAsia="zh-CN"/>
        </w:rPr>
        <w:t>当事人住所地址</w:t>
      </w:r>
      <w:r>
        <w:rPr>
          <w:rFonts w:hint="eastAsia" w:ascii="仿宋_GB2312" w:hAnsi="仿宋_GB2312" w:eastAsia="仿宋_GB2312"/>
          <w:sz w:val="32"/>
          <w:szCs w:val="32"/>
        </w:rPr>
        <w:t>进行</w:t>
      </w:r>
      <w:r>
        <w:rPr>
          <w:rFonts w:hint="eastAsia" w:ascii="仿宋_GB2312" w:hAnsi="仿宋_GB2312" w:eastAsia="仿宋_GB2312"/>
          <w:sz w:val="32"/>
          <w:szCs w:val="32"/>
          <w:lang w:eastAsia="zh-CN"/>
        </w:rPr>
        <w:t>调查</w:t>
      </w:r>
      <w:r>
        <w:rPr>
          <w:rFonts w:hint="eastAsia" w:ascii="仿宋_GB2312" w:hAnsi="仿宋_GB2312" w:eastAsia="仿宋_GB2312"/>
          <w:sz w:val="32"/>
          <w:szCs w:val="32"/>
        </w:rPr>
        <w:t>。经查明，</w:t>
      </w:r>
      <w:r>
        <w:rPr>
          <w:rFonts w:hint="eastAsia" w:ascii="仿宋_GB2312" w:hAnsi="仿宋_GB2312" w:eastAsia="仿宋_GB2312"/>
          <w:sz w:val="32"/>
          <w:szCs w:val="32"/>
          <w:lang w:eastAsia="zh-CN"/>
        </w:rPr>
        <w:t>当事人</w:t>
      </w:r>
      <w:r>
        <w:rPr>
          <w:rFonts w:hint="eastAsia" w:ascii="仿宋_GB2312" w:hAnsi="仿宋_GB2312" w:eastAsia="仿宋_GB2312"/>
          <w:sz w:val="32"/>
          <w:szCs w:val="32"/>
        </w:rPr>
        <w:t>于</w:t>
      </w:r>
      <w:r>
        <w:rPr>
          <w:rFonts w:ascii="仿宋_GB2312" w:hAnsi="仿宋_GB2312" w:eastAsia="仿宋_GB2312"/>
          <w:sz w:val="32"/>
          <w:szCs w:val="32"/>
        </w:rPr>
        <w:t>20</w:t>
      </w:r>
      <w:r>
        <w:rPr>
          <w:rFonts w:hint="eastAsia" w:ascii="仿宋_GB2312" w:hAnsi="仿宋_GB2312" w:eastAsia="仿宋_GB2312"/>
          <w:sz w:val="32"/>
          <w:szCs w:val="32"/>
          <w:lang w:val="en-US" w:eastAsia="zh-CN"/>
        </w:rPr>
        <w:t>19</w:t>
      </w:r>
      <w:r>
        <w:rPr>
          <w:rFonts w:hint="eastAsia" w:ascii="仿宋_GB2312" w:hAnsi="仿宋_GB2312" w:eastAsia="仿宋_GB2312"/>
          <w:sz w:val="32"/>
          <w:szCs w:val="32"/>
        </w:rPr>
        <w:t>年</w:t>
      </w:r>
      <w:r>
        <w:rPr>
          <w:rFonts w:ascii="仿宋_GB2312" w:hAnsi="仿宋_GB2312" w:eastAsia="仿宋_GB2312"/>
          <w:sz w:val="32"/>
          <w:szCs w:val="32"/>
        </w:rPr>
        <w:t>1</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5</w:t>
      </w:r>
      <w:r>
        <w:rPr>
          <w:rFonts w:hint="eastAsia" w:ascii="仿宋_GB2312" w:hAnsi="仿宋_GB2312" w:eastAsia="仿宋_GB2312"/>
          <w:sz w:val="32"/>
          <w:szCs w:val="32"/>
        </w:rPr>
        <w:t>日购进涉案批次医用一次性口罩</w:t>
      </w:r>
      <w:r>
        <w:rPr>
          <w:rFonts w:hint="eastAsia" w:ascii="仿宋_GB2312" w:hAnsi="仿宋_GB2312" w:eastAsia="仿宋_GB2312"/>
          <w:sz w:val="32"/>
          <w:szCs w:val="32"/>
          <w:lang w:val="en-US" w:eastAsia="zh-CN"/>
        </w:rPr>
        <w:t>4盒共200个</w:t>
      </w:r>
      <w:r>
        <w:rPr>
          <w:rFonts w:hint="eastAsia" w:ascii="仿宋_GB2312" w:hAnsi="仿宋_GB2312" w:eastAsia="仿宋_GB2312"/>
          <w:sz w:val="32"/>
          <w:szCs w:val="32"/>
        </w:rPr>
        <w:t>，进价为</w:t>
      </w:r>
      <w:r>
        <w:rPr>
          <w:rFonts w:hint="eastAsia" w:ascii="仿宋_GB2312" w:hAnsi="仿宋_GB2312" w:eastAsia="仿宋_GB2312"/>
          <w:sz w:val="32"/>
          <w:szCs w:val="32"/>
          <w:lang w:val="en-US" w:eastAsia="zh-CN"/>
        </w:rPr>
        <w:t>0.3</w:t>
      </w:r>
      <w:r>
        <w:rPr>
          <w:rFonts w:hint="eastAsia" w:ascii="仿宋_GB2312" w:hAnsi="仿宋_GB2312" w:eastAsia="仿宋_GB2312"/>
          <w:sz w:val="32"/>
          <w:szCs w:val="32"/>
        </w:rPr>
        <w:t>元</w:t>
      </w:r>
      <w:r>
        <w:rPr>
          <w:rFonts w:ascii="仿宋_GB2312" w:hAnsi="仿宋_GB2312" w:eastAsia="仿宋_GB2312"/>
          <w:sz w:val="32"/>
          <w:szCs w:val="32"/>
        </w:rPr>
        <w:t>/</w:t>
      </w:r>
      <w:r>
        <w:rPr>
          <w:rFonts w:hint="eastAsia" w:ascii="仿宋_GB2312" w:hAnsi="仿宋_GB2312" w:eastAsia="仿宋_GB2312"/>
          <w:sz w:val="32"/>
          <w:szCs w:val="32"/>
        </w:rPr>
        <w:t>个，</w:t>
      </w:r>
      <w:r>
        <w:rPr>
          <w:rFonts w:hint="eastAsia" w:ascii="仿宋_GB2312" w:eastAsia="仿宋_GB2312"/>
          <w:sz w:val="32"/>
          <w:szCs w:val="32"/>
          <w:lang w:val="en-US" w:eastAsia="zh-CN"/>
        </w:rPr>
        <w:t>分别于2020年1月17日、18日、20日以单价0.5元/个销售75个，1月28日涨价至3元/个，以单价3元/个销售125个，1月28日以单价3元/个进行销售的行为具有哄抬价格的性质，销售总额为375元，违法所得为337.5元。</w:t>
      </w:r>
    </w:p>
    <w:p>
      <w:pPr>
        <w:pStyle w:val="18"/>
        <w:keepNext w:val="0"/>
        <w:keepLines w:val="0"/>
        <w:pageBreakBefore w:val="0"/>
        <w:kinsoku/>
        <w:overflowPunct/>
        <w:topLinePunct w:val="0"/>
        <w:autoSpaceDE/>
        <w:bidi w:val="0"/>
        <w:adjustRightInd/>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lang w:eastAsia="zh-CN"/>
        </w:rPr>
        <w:t>当事人</w:t>
      </w:r>
      <w:r>
        <w:rPr>
          <w:rFonts w:hint="eastAsia" w:ascii="仿宋_GB2312" w:hAnsi="仿宋_GB2312" w:eastAsia="仿宋_GB2312"/>
          <w:sz w:val="32"/>
          <w:szCs w:val="32"/>
        </w:rPr>
        <w:t>上述行为违反了《中华人民共和国价格法》第十四条第（三）项“经营者不得有下列不正当价格行为：</w:t>
      </w:r>
      <w:r>
        <w:rPr>
          <w:rFonts w:hint="eastAsia" w:ascii="仿宋_GB2312" w:hAnsi="仿宋_GB2312" w:eastAsia="仿宋_GB2312"/>
          <w:sz w:val="32"/>
          <w:szCs w:val="32"/>
          <w:lang w:eastAsia="zh-CN"/>
        </w:rPr>
        <w:t>（三）</w:t>
      </w:r>
      <w:r>
        <w:rPr>
          <w:rFonts w:hint="eastAsia" w:ascii="仿宋_GB2312" w:hAnsi="仿宋_GB2312" w:eastAsia="仿宋_GB2312"/>
          <w:sz w:val="32"/>
          <w:szCs w:val="32"/>
        </w:rPr>
        <w:t>捏造、散布涨价信息，哄抬价格，推动商品价格过高上涨的”的规定。</w:t>
      </w:r>
    </w:p>
    <w:p>
      <w:pPr>
        <w:pStyle w:val="22"/>
        <w:keepNext w:val="0"/>
        <w:keepLines w:val="0"/>
        <w:pageBreakBefore w:val="0"/>
        <w:widowControl/>
        <w:kinsoku/>
        <w:wordWrap/>
        <w:overflowPunct/>
        <w:topLinePunct w:val="0"/>
        <w:autoSpaceDE/>
        <w:autoSpaceDN/>
        <w:bidi w:val="0"/>
        <w:adjustRightInd/>
        <w:spacing w:line="360" w:lineRule="auto"/>
        <w:ind w:firstLine="640" w:firstLineChars="200"/>
        <w:textAlignment w:val="auto"/>
        <w:rPr>
          <w:rFonts w:ascii="仿宋_GB2312" w:hAnsi="仿宋_GB2312"/>
          <w:b/>
          <w:sz w:val="32"/>
          <w:szCs w:val="32"/>
        </w:rPr>
      </w:pPr>
      <w:r>
        <w:rPr>
          <w:rFonts w:hint="eastAsia" w:ascii="仿宋_GB2312" w:hAnsi="仿宋_GB2312" w:eastAsia="仿宋_GB2312"/>
          <w:sz w:val="32"/>
          <w:szCs w:val="32"/>
        </w:rPr>
        <w:t>上述事实，主要有以下证据证明：</w:t>
      </w:r>
    </w:p>
    <w:p>
      <w:pPr>
        <w:keepNext w:val="0"/>
        <w:keepLines w:val="0"/>
        <w:pageBreakBefore w:val="0"/>
        <w:numPr>
          <w:ilvl w:val="0"/>
          <w:numId w:val="1"/>
        </w:numPr>
        <w:kinsoku/>
        <w:wordWrap/>
        <w:overflowPunct/>
        <w:topLinePunct w:val="0"/>
        <w:autoSpaceDE/>
        <w:autoSpaceDN/>
        <w:bidi w:val="0"/>
        <w:adjustRightInd/>
        <w:snapToGrid w:val="0"/>
        <w:spacing w:line="360" w:lineRule="auto"/>
        <w:ind w:firstLine="720" w:firstLineChars="225"/>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当事人营业执照、药品经营许可证复印件、经营者傅冠凤的身份证复印件及其委托人身份证复印件；</w:t>
      </w:r>
    </w:p>
    <w:p>
      <w:pPr>
        <w:keepNext w:val="0"/>
        <w:keepLines w:val="0"/>
        <w:pageBreakBefore w:val="0"/>
        <w:numPr>
          <w:ilvl w:val="0"/>
          <w:numId w:val="1"/>
        </w:numPr>
        <w:kinsoku/>
        <w:wordWrap/>
        <w:overflowPunct/>
        <w:topLinePunct w:val="0"/>
        <w:autoSpaceDE/>
        <w:autoSpaceDN/>
        <w:bidi w:val="0"/>
        <w:adjustRightInd/>
        <w:snapToGrid w:val="0"/>
        <w:spacing w:line="360" w:lineRule="auto"/>
        <w:ind w:firstLine="720" w:firstLineChars="225"/>
        <w:textAlignment w:val="auto"/>
        <w:rPr>
          <w:rFonts w:hint="eastAsia" w:ascii="仿宋_GB2312" w:eastAsia="仿宋_GB2312"/>
          <w:color w:val="000000"/>
          <w:sz w:val="32"/>
          <w:szCs w:val="32"/>
        </w:rPr>
      </w:pPr>
      <w:r>
        <w:rPr>
          <w:rFonts w:hint="eastAsia" w:ascii="仿宋_GB2312" w:eastAsia="仿宋_GB2312"/>
          <w:sz w:val="32"/>
          <w:szCs w:val="32"/>
          <w:lang w:val="en-US" w:eastAsia="zh-CN"/>
        </w:rPr>
        <w:t>现场检查笔录1份及现场检查照片；</w:t>
      </w:r>
    </w:p>
    <w:p>
      <w:pPr>
        <w:keepNext w:val="0"/>
        <w:keepLines w:val="0"/>
        <w:pageBreakBefore w:val="0"/>
        <w:numPr>
          <w:ilvl w:val="0"/>
          <w:numId w:val="1"/>
        </w:numPr>
        <w:kinsoku/>
        <w:wordWrap/>
        <w:overflowPunct/>
        <w:topLinePunct w:val="0"/>
        <w:autoSpaceDE/>
        <w:autoSpaceDN/>
        <w:bidi w:val="0"/>
        <w:adjustRightInd/>
        <w:snapToGrid w:val="0"/>
        <w:spacing w:line="360" w:lineRule="auto"/>
        <w:ind w:firstLine="720" w:firstLineChars="225"/>
        <w:textAlignment w:val="auto"/>
        <w:rPr>
          <w:rFonts w:hint="eastAsia" w:ascii="仿宋_GB2312" w:eastAsia="仿宋_GB2312"/>
          <w:color w:val="000000"/>
          <w:sz w:val="32"/>
          <w:szCs w:val="32"/>
        </w:rPr>
      </w:pPr>
      <w:r>
        <w:rPr>
          <w:rFonts w:hint="eastAsia" w:ascii="仿宋_GB2312" w:eastAsia="仿宋_GB2312"/>
          <w:sz w:val="32"/>
          <w:szCs w:val="32"/>
          <w:lang w:val="en-US" w:eastAsia="zh-CN"/>
        </w:rPr>
        <w:t>2020年2月2日询问（调查）笔录；</w:t>
      </w:r>
    </w:p>
    <w:p>
      <w:pPr>
        <w:keepNext w:val="0"/>
        <w:keepLines w:val="0"/>
        <w:pageBreakBefore w:val="0"/>
        <w:numPr>
          <w:ilvl w:val="0"/>
          <w:numId w:val="1"/>
        </w:numPr>
        <w:kinsoku/>
        <w:wordWrap/>
        <w:overflowPunct/>
        <w:topLinePunct w:val="0"/>
        <w:autoSpaceDE/>
        <w:autoSpaceDN/>
        <w:bidi w:val="0"/>
        <w:adjustRightInd/>
        <w:snapToGrid w:val="0"/>
        <w:spacing w:line="360" w:lineRule="auto"/>
        <w:ind w:firstLine="720" w:firstLineChars="225"/>
        <w:textAlignment w:val="auto"/>
        <w:rPr>
          <w:rFonts w:hint="eastAsia" w:ascii="仿宋_GB2312" w:eastAsia="仿宋_GB2312"/>
          <w:color w:val="000000"/>
          <w:sz w:val="32"/>
          <w:szCs w:val="32"/>
        </w:rPr>
      </w:pPr>
      <w:r>
        <w:rPr>
          <w:rFonts w:hint="eastAsia" w:ascii="仿宋_GB2312" w:eastAsia="仿宋_GB2312"/>
          <w:sz w:val="32"/>
          <w:szCs w:val="32"/>
          <w:lang w:val="en-US" w:eastAsia="zh-CN"/>
        </w:rPr>
        <w:t xml:space="preserve">《随货同行单》复印件； </w:t>
      </w:r>
      <w:r>
        <w:rPr>
          <w:rFonts w:hint="eastAsia" w:ascii="仿宋_GB2312" w:eastAsia="仿宋_GB2312"/>
          <w:color w:val="000000"/>
          <w:sz w:val="32"/>
          <w:szCs w:val="32"/>
        </w:rPr>
        <w:t xml:space="preserve"> </w:t>
      </w:r>
    </w:p>
    <w:p>
      <w:pPr>
        <w:keepNext w:val="0"/>
        <w:keepLines w:val="0"/>
        <w:pageBreakBefore w:val="0"/>
        <w:numPr>
          <w:ilvl w:val="0"/>
          <w:numId w:val="1"/>
        </w:numPr>
        <w:kinsoku/>
        <w:wordWrap/>
        <w:overflowPunct/>
        <w:topLinePunct w:val="0"/>
        <w:autoSpaceDE/>
        <w:autoSpaceDN/>
        <w:bidi w:val="0"/>
        <w:adjustRightInd/>
        <w:snapToGrid w:val="0"/>
        <w:spacing w:line="360" w:lineRule="auto"/>
        <w:ind w:firstLine="720" w:firstLineChars="225"/>
        <w:textAlignment w:val="auto"/>
        <w:rPr>
          <w:rFonts w:hint="eastAsia" w:ascii="仿宋_GB2312" w:eastAsia="仿宋_GB2312"/>
          <w:color w:val="000000"/>
          <w:sz w:val="32"/>
          <w:szCs w:val="32"/>
        </w:rPr>
      </w:pPr>
      <w:r>
        <w:rPr>
          <w:rFonts w:hint="eastAsia" w:ascii="仿宋_GB2312" w:eastAsia="仿宋_GB2312"/>
          <w:sz w:val="32"/>
          <w:szCs w:val="32"/>
          <w:lang w:val="en-US" w:eastAsia="zh-CN"/>
        </w:rPr>
        <w:t>举报人提供的购买口罩的微信付款信息</w:t>
      </w:r>
      <w:r>
        <w:rPr>
          <w:rFonts w:hint="eastAsia" w:ascii="仿宋_GB2312" w:eastAsia="仿宋_GB2312"/>
          <w:color w:val="000000"/>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val="0"/>
        <w:spacing w:line="360" w:lineRule="auto"/>
        <w:ind w:firstLine="720" w:firstLineChars="225"/>
        <w:textAlignment w:val="auto"/>
        <w:rPr>
          <w:rFonts w:ascii="仿宋_GB2312" w:hAnsi="仿宋_GB2312" w:eastAsia="仿宋_GB2312"/>
          <w:sz w:val="32"/>
          <w:szCs w:val="32"/>
        </w:rPr>
      </w:pPr>
      <w:bookmarkStart w:id="0" w:name="_GoBack"/>
      <w:bookmarkEnd w:id="0"/>
      <w:r>
        <w:rPr>
          <w:rFonts w:hint="eastAsia" w:ascii="仿宋_GB2312" w:eastAsia="仿宋_GB2312"/>
          <w:color w:val="000000"/>
          <w:sz w:val="32"/>
          <w:szCs w:val="32"/>
          <w:lang w:eastAsia="zh-CN"/>
        </w:rPr>
        <w:t>提供的</w:t>
      </w:r>
      <w:r>
        <w:rPr>
          <w:rFonts w:hint="eastAsia" w:ascii="仿宋_GB2312" w:eastAsia="仿宋_GB2312"/>
          <w:color w:val="000000"/>
          <w:sz w:val="32"/>
          <w:szCs w:val="32"/>
          <w:lang w:val="en-US" w:eastAsia="zh-CN"/>
        </w:rPr>
        <w:t>1月17日（1笔）、18日（1笔）、20日（1笔）、28日微信收款记录（4笔）；</w:t>
      </w:r>
    </w:p>
    <w:p>
      <w:pPr>
        <w:keepNext w:val="0"/>
        <w:keepLines w:val="0"/>
        <w:pageBreakBefore w:val="0"/>
        <w:numPr>
          <w:ilvl w:val="0"/>
          <w:numId w:val="1"/>
        </w:numPr>
        <w:kinsoku/>
        <w:wordWrap/>
        <w:overflowPunct/>
        <w:topLinePunct w:val="0"/>
        <w:autoSpaceDE/>
        <w:autoSpaceDN/>
        <w:bidi w:val="0"/>
        <w:adjustRightInd/>
        <w:snapToGrid w:val="0"/>
        <w:spacing w:line="360" w:lineRule="auto"/>
        <w:ind w:firstLine="720" w:firstLineChars="225"/>
        <w:textAlignment w:val="auto"/>
        <w:rPr>
          <w:rFonts w:ascii="仿宋_GB2312" w:hAnsi="仿宋_GB2312" w:eastAsia="仿宋_GB2312"/>
          <w:sz w:val="32"/>
          <w:szCs w:val="32"/>
        </w:rPr>
      </w:pPr>
      <w:r>
        <w:rPr>
          <w:rFonts w:hint="eastAsia" w:ascii="仿宋_GB2312" w:eastAsia="仿宋_GB2312"/>
          <w:color w:val="000000"/>
          <w:sz w:val="32"/>
          <w:szCs w:val="32"/>
          <w:lang w:val="en-US" w:eastAsia="zh-CN"/>
        </w:rPr>
        <w:t>《整改报告》。</w:t>
      </w:r>
    </w:p>
    <w:p>
      <w:pPr>
        <w:pStyle w:val="18"/>
        <w:keepNext w:val="0"/>
        <w:keepLines w:val="0"/>
        <w:pageBreakBefore w:val="0"/>
        <w:kinsoku/>
        <w:overflowPunct/>
        <w:topLinePunct w:val="0"/>
        <w:autoSpaceDE/>
        <w:bidi w:val="0"/>
        <w:adjustRightInd/>
        <w:spacing w:line="360"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根据《中华人民共和国价格法》第四十条</w:t>
      </w:r>
      <w:r>
        <w:rPr>
          <w:rFonts w:hint="eastAsia" w:ascii="仿宋_GB2312" w:hAnsi="仿宋_GB2312" w:eastAsia="仿宋_GB2312"/>
          <w:sz w:val="32"/>
          <w:szCs w:val="32"/>
          <w:lang w:eastAsia="zh-CN"/>
        </w:rPr>
        <w:t>第一款</w:t>
      </w:r>
      <w:r>
        <w:rPr>
          <w:rFonts w:hint="eastAsia" w:ascii="仿宋_GB2312" w:hAnsi="仿宋_GB2312" w:eastAsia="仿宋_GB2312"/>
          <w:sz w:val="32"/>
          <w:szCs w:val="32"/>
        </w:rPr>
        <w:t>“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的规定，</w:t>
      </w:r>
      <w:r>
        <w:rPr>
          <w:rFonts w:hint="eastAsia" w:ascii="仿宋_GB2312" w:hAnsi="仿宋_GB2312" w:eastAsia="仿宋_GB2312"/>
          <w:sz w:val="32"/>
          <w:szCs w:val="32"/>
          <w:lang w:eastAsia="zh-CN"/>
        </w:rPr>
        <w:t>对当事人处以以下</w:t>
      </w:r>
      <w:r>
        <w:rPr>
          <w:rFonts w:hint="eastAsia" w:ascii="仿宋_GB2312" w:hAnsi="仿宋_GB2312" w:eastAsia="仿宋_GB2312"/>
          <w:sz w:val="32"/>
          <w:szCs w:val="32"/>
        </w:rPr>
        <w:t>行政处罚：</w:t>
      </w:r>
    </w:p>
    <w:p>
      <w:pPr>
        <w:keepNext w:val="0"/>
        <w:keepLines w:val="0"/>
        <w:pageBreakBefore w:val="0"/>
        <w:numPr>
          <w:ilvl w:val="0"/>
          <w:numId w:val="2"/>
        </w:numPr>
        <w:kinsoku/>
        <w:wordWrap/>
        <w:overflowPunct/>
        <w:topLinePunct w:val="0"/>
        <w:autoSpaceDE/>
        <w:autoSpaceDN/>
        <w:bidi w:val="0"/>
        <w:adjustRightInd/>
        <w:spacing w:line="360" w:lineRule="auto"/>
        <w:ind w:left="609" w:leftChars="290" w:firstLine="0" w:firstLineChars="0"/>
        <w:rPr>
          <w:rFonts w:hint="eastAsia" w:ascii="仿宋_GB2312" w:eastAsia="仿宋_GB2312"/>
          <w:sz w:val="32"/>
          <w:szCs w:val="32"/>
          <w:lang w:val="en-US" w:eastAsia="zh-CN"/>
        </w:rPr>
      </w:pPr>
      <w:r>
        <w:rPr>
          <w:rFonts w:hint="eastAsia" w:ascii="仿宋_GB2312" w:eastAsia="仿宋_GB2312"/>
          <w:sz w:val="32"/>
          <w:szCs w:val="32"/>
          <w:lang w:val="en-US" w:eastAsia="zh-CN"/>
        </w:rPr>
        <w:t>责令停止</w:t>
      </w:r>
      <w:r>
        <w:rPr>
          <w:rFonts w:hint="eastAsia" w:ascii="仿宋_GB2312" w:hAnsi="仿宋_GB2312" w:eastAsia="仿宋_GB2312"/>
          <w:sz w:val="32"/>
          <w:szCs w:val="32"/>
          <w:lang w:eastAsia="zh-CN"/>
        </w:rPr>
        <w:t>哄抬口罩价格的行为</w:t>
      </w:r>
      <w:r>
        <w:rPr>
          <w:rFonts w:hint="eastAsia" w:ascii="仿宋_GB2312" w:eastAsia="仿宋_GB2312"/>
          <w:sz w:val="32"/>
          <w:szCs w:val="32"/>
          <w:lang w:val="en-US" w:eastAsia="zh-CN"/>
        </w:rPr>
        <w:t>；</w:t>
      </w:r>
    </w:p>
    <w:p>
      <w:pPr>
        <w:keepNext w:val="0"/>
        <w:keepLines w:val="0"/>
        <w:pageBreakBefore w:val="0"/>
        <w:numPr>
          <w:ilvl w:val="0"/>
          <w:numId w:val="2"/>
        </w:numPr>
        <w:kinsoku/>
        <w:wordWrap/>
        <w:overflowPunct/>
        <w:topLinePunct w:val="0"/>
        <w:autoSpaceDE/>
        <w:autoSpaceDN/>
        <w:bidi w:val="0"/>
        <w:adjustRightInd/>
        <w:spacing w:line="360" w:lineRule="auto"/>
        <w:ind w:left="609" w:leftChars="290" w:firstLine="0" w:firstLineChars="0"/>
        <w:rPr>
          <w:rFonts w:hint="eastAsia" w:ascii="仿宋_GB2312" w:hAnsi="仿宋_GB2312" w:eastAsia="仿宋_GB2312"/>
          <w:sz w:val="32"/>
          <w:szCs w:val="32"/>
          <w:lang w:val="en-US" w:eastAsia="zh-CN"/>
        </w:rPr>
      </w:pPr>
      <w:r>
        <w:rPr>
          <w:rFonts w:hint="eastAsia" w:ascii="仿宋_GB2312" w:eastAsia="仿宋_GB2312"/>
          <w:sz w:val="32"/>
          <w:szCs w:val="32"/>
          <w:lang w:val="en-US" w:eastAsia="zh-CN"/>
        </w:rPr>
        <w:t>没收违法所得337.5元。</w:t>
      </w:r>
    </w:p>
    <w:p>
      <w:pPr>
        <w:keepNext w:val="0"/>
        <w:keepLines w:val="0"/>
        <w:pageBreakBefore w:val="0"/>
        <w:numPr>
          <w:ilvl w:val="0"/>
          <w:numId w:val="2"/>
        </w:numPr>
        <w:kinsoku/>
        <w:wordWrap/>
        <w:overflowPunct/>
        <w:topLinePunct w:val="0"/>
        <w:autoSpaceDE/>
        <w:autoSpaceDN/>
        <w:bidi w:val="0"/>
        <w:adjustRightInd/>
        <w:spacing w:line="360" w:lineRule="auto"/>
        <w:ind w:left="609" w:leftChars="290" w:firstLine="0" w:firstLineChars="0"/>
        <w:rPr>
          <w:rFonts w:hint="eastAsia" w:ascii="仿宋_GB2312" w:hAnsi="仿宋_GB2312" w:eastAsia="仿宋_GB2312"/>
          <w:sz w:val="32"/>
          <w:szCs w:val="32"/>
          <w:lang w:val="en-US" w:eastAsia="zh-CN"/>
        </w:rPr>
      </w:pPr>
      <w:r>
        <w:rPr>
          <w:rFonts w:hint="eastAsia" w:ascii="仿宋_GB2312" w:eastAsia="仿宋_GB2312"/>
          <w:sz w:val="32"/>
          <w:szCs w:val="32"/>
          <w:lang w:val="en-US" w:eastAsia="zh-CN"/>
        </w:rPr>
        <w:t>罚款1600元</w:t>
      </w:r>
      <w:r>
        <w:rPr>
          <w:rFonts w:hint="eastAsia" w:ascii="仿宋_GB2312" w:hAns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当事人应当自收到本《处罚决定书》之日起十五日内，将罚没款缴至《广州市非税收入交款通知书》所列银行。到期不缴纳罚款的，依据《中华人民共和国行政处罚法》第五十一条的规定，本局可以每日按罚款数额的百分之三加处罚款，并申请人民法院强制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sz w:val="32"/>
          <w:szCs w:val="32"/>
        </w:rPr>
      </w:pPr>
      <w:r>
        <w:rPr>
          <w:rFonts w:hint="eastAsia"/>
        </w:rPr>
        <w:t> </w:t>
      </w:r>
      <w:r>
        <w:rPr>
          <w:rFonts w:hint="eastAsia"/>
          <w:lang w:val="en-US" w:eastAsia="zh-CN"/>
        </w:rPr>
        <w:t xml:space="preserve">   </w:t>
      </w:r>
      <w:r>
        <w:rPr>
          <w:rFonts w:hint="eastAsia"/>
        </w:rPr>
        <w:t>   </w:t>
      </w:r>
      <w:r>
        <w:rPr>
          <w:rFonts w:hint="eastAsia" w:ascii="仿宋_GB2312" w:eastAsia="仿宋_GB2312"/>
          <w:sz w:val="32"/>
          <w:szCs w:val="32"/>
        </w:rPr>
        <w:t>如不服本处罚决定，可在处罚决定书送达之日起六十日内向广州市黄埔区人民政府或广州市市场监督管理局申请复议，广州市黄埔区人民政府复议地址：广州市黄埔区水西路12号A栋2楼公共法律服务中心、82378878，广州市市场监督管理局复议地址：广州市天河区天河路112号，85590146；</w:t>
      </w:r>
      <w:r>
        <w:rPr>
          <w:rFonts w:hint="eastAsia" w:ascii="仿宋_GB2312" w:eastAsia="仿宋_GB2312"/>
          <w:sz w:val="32"/>
          <w:szCs w:val="32"/>
          <w:lang w:eastAsia="zh-CN"/>
        </w:rPr>
        <w:t>复议期间不停止本处罚决定的执行</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sz w:val="32"/>
          <w:szCs w:val="32"/>
        </w:rPr>
      </w:pPr>
    </w:p>
    <w:p>
      <w:pPr>
        <w:pStyle w:val="12"/>
        <w:keepNext w:val="0"/>
        <w:keepLines w:val="0"/>
        <w:pageBreakBefore w:val="0"/>
        <w:kinsoku/>
        <w:overflowPunct/>
        <w:topLinePunct w:val="0"/>
        <w:autoSpaceDE/>
        <w:autoSpaceDN w:val="0"/>
        <w:bidi w:val="0"/>
        <w:adjustRightInd/>
        <w:snapToGrid/>
        <w:spacing w:line="360" w:lineRule="auto"/>
        <w:ind w:left="-640" w:right="233" w:firstLine="640"/>
        <w:jc w:val="lef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广州市黄埔区市场监督管理局</w:t>
      </w:r>
    </w:p>
    <w:p>
      <w:pPr>
        <w:keepNext w:val="0"/>
        <w:keepLines w:val="0"/>
        <w:pageBreakBefore w:val="0"/>
        <w:kinsoku/>
        <w:wordWrap w:val="0"/>
        <w:overflowPunct/>
        <w:topLinePunct w:val="0"/>
        <w:autoSpaceDE/>
        <w:bidi w:val="0"/>
        <w:adjustRightInd/>
        <w:snapToGrid/>
        <w:spacing w:line="360" w:lineRule="auto"/>
        <w:ind w:firstLine="320" w:firstLineChars="100"/>
        <w:textAlignment w:val="baseline"/>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2020 </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 xml:space="preserve"> 2</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 xml:space="preserve"> 14 </w:t>
      </w:r>
      <w:r>
        <w:rPr>
          <w:rFonts w:hint="eastAsia" w:ascii="仿宋_GB2312" w:eastAsia="仿宋_GB2312"/>
          <w:sz w:val="32"/>
          <w:szCs w:val="32"/>
          <w:highlight w:val="none"/>
        </w:rPr>
        <w:t>日</w:t>
      </w:r>
    </w:p>
    <w:p>
      <w:pPr>
        <w:keepNext w:val="0"/>
        <w:keepLines w:val="0"/>
        <w:pageBreakBefore w:val="0"/>
        <w:kinsoku/>
        <w:wordWrap w:val="0"/>
        <w:overflowPunct/>
        <w:topLinePunct w:val="0"/>
        <w:autoSpaceDE/>
        <w:bidi w:val="0"/>
        <w:adjustRightInd/>
        <w:snapToGrid/>
        <w:spacing w:line="360" w:lineRule="auto"/>
        <w:textAlignment w:val="baseline"/>
        <w:rPr>
          <w:rFonts w:ascii="仿宋_GB2312" w:eastAsia="仿宋_GB2312"/>
          <w:sz w:val="32"/>
          <w:szCs w:val="32"/>
        </w:rPr>
      </w:pPr>
      <w:r>
        <w:rPr>
          <w:rFonts w:hint="eastAsia" w:ascii="仿宋_GB2312" w:hAnsi="仿宋_GB2312" w:eastAsia="仿宋_GB2312" w:cs="Times New Roman"/>
          <w:sz w:val="32"/>
          <w:szCs w:val="32"/>
        </w:rPr>
        <w:t>（市场监督管理部门将依法向社会公示本行政处罚决定信息）</w:t>
      </w:r>
    </w:p>
    <w:sectPr>
      <w:footerReference r:id="rId3" w:type="default"/>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23732"/>
    <w:multiLevelType w:val="singleLevel"/>
    <w:tmpl w:val="8AF23732"/>
    <w:lvl w:ilvl="0" w:tentative="0">
      <w:start w:val="1"/>
      <w:numFmt w:val="decimal"/>
      <w:lvlText w:val="%1."/>
      <w:lvlJc w:val="left"/>
      <w:pPr>
        <w:tabs>
          <w:tab w:val="left" w:pos="312"/>
        </w:tabs>
      </w:pPr>
    </w:lvl>
  </w:abstractNum>
  <w:abstractNum w:abstractNumId="1">
    <w:nsid w:val="04321ED8"/>
    <w:multiLevelType w:val="singleLevel"/>
    <w:tmpl w:val="04321ED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AB"/>
    <w:rsid w:val="00044AEB"/>
    <w:rsid w:val="00064D34"/>
    <w:rsid w:val="00076A61"/>
    <w:rsid w:val="001A5876"/>
    <w:rsid w:val="00245590"/>
    <w:rsid w:val="0027435D"/>
    <w:rsid w:val="00295B6B"/>
    <w:rsid w:val="002D092E"/>
    <w:rsid w:val="002D4331"/>
    <w:rsid w:val="002E2922"/>
    <w:rsid w:val="00300900"/>
    <w:rsid w:val="00326016"/>
    <w:rsid w:val="00332308"/>
    <w:rsid w:val="003E23F9"/>
    <w:rsid w:val="00414A63"/>
    <w:rsid w:val="00444A1F"/>
    <w:rsid w:val="00475AE5"/>
    <w:rsid w:val="00493272"/>
    <w:rsid w:val="004E112D"/>
    <w:rsid w:val="005543A7"/>
    <w:rsid w:val="005A06EA"/>
    <w:rsid w:val="00731FB6"/>
    <w:rsid w:val="008504DF"/>
    <w:rsid w:val="00897F48"/>
    <w:rsid w:val="008D37B1"/>
    <w:rsid w:val="009516F0"/>
    <w:rsid w:val="00982A89"/>
    <w:rsid w:val="00AA1203"/>
    <w:rsid w:val="00AE7B3F"/>
    <w:rsid w:val="00B2239F"/>
    <w:rsid w:val="00B4053D"/>
    <w:rsid w:val="00B505C9"/>
    <w:rsid w:val="00B7017F"/>
    <w:rsid w:val="00BC32DC"/>
    <w:rsid w:val="00BF27EF"/>
    <w:rsid w:val="00C01352"/>
    <w:rsid w:val="00C10B93"/>
    <w:rsid w:val="00C804D5"/>
    <w:rsid w:val="00CB7CFD"/>
    <w:rsid w:val="00CD1BD9"/>
    <w:rsid w:val="00CE390D"/>
    <w:rsid w:val="00D213FD"/>
    <w:rsid w:val="00D704AB"/>
    <w:rsid w:val="00DE0CA8"/>
    <w:rsid w:val="00E51545"/>
    <w:rsid w:val="00E72208"/>
    <w:rsid w:val="00E77439"/>
    <w:rsid w:val="00EA0C40"/>
    <w:rsid w:val="00EF4BA7"/>
    <w:rsid w:val="013227DC"/>
    <w:rsid w:val="0311469C"/>
    <w:rsid w:val="04860B09"/>
    <w:rsid w:val="068147E7"/>
    <w:rsid w:val="081700E4"/>
    <w:rsid w:val="0ACC746E"/>
    <w:rsid w:val="0AD00A39"/>
    <w:rsid w:val="0ADC4695"/>
    <w:rsid w:val="0AE814F4"/>
    <w:rsid w:val="0AEE6800"/>
    <w:rsid w:val="0BAA07C7"/>
    <w:rsid w:val="0C3C2270"/>
    <w:rsid w:val="0CFE48EE"/>
    <w:rsid w:val="0F833F5D"/>
    <w:rsid w:val="100C03C9"/>
    <w:rsid w:val="111C0E16"/>
    <w:rsid w:val="11734E8E"/>
    <w:rsid w:val="121C6865"/>
    <w:rsid w:val="121E043A"/>
    <w:rsid w:val="12C53AD5"/>
    <w:rsid w:val="13B33B79"/>
    <w:rsid w:val="17E75EEC"/>
    <w:rsid w:val="188E695A"/>
    <w:rsid w:val="18DA10D6"/>
    <w:rsid w:val="19DE5A4E"/>
    <w:rsid w:val="1B30034B"/>
    <w:rsid w:val="1C513356"/>
    <w:rsid w:val="1ECA21CF"/>
    <w:rsid w:val="210376EF"/>
    <w:rsid w:val="21CE6783"/>
    <w:rsid w:val="21CF4893"/>
    <w:rsid w:val="23FB1065"/>
    <w:rsid w:val="25041250"/>
    <w:rsid w:val="25721AAD"/>
    <w:rsid w:val="25B55C4F"/>
    <w:rsid w:val="25C92D1B"/>
    <w:rsid w:val="27E44E7C"/>
    <w:rsid w:val="281D1686"/>
    <w:rsid w:val="2ADC16AE"/>
    <w:rsid w:val="2BC976D2"/>
    <w:rsid w:val="31BC20EC"/>
    <w:rsid w:val="321B4A66"/>
    <w:rsid w:val="344814CF"/>
    <w:rsid w:val="35AE643F"/>
    <w:rsid w:val="384508B7"/>
    <w:rsid w:val="3A355750"/>
    <w:rsid w:val="3A4D23A4"/>
    <w:rsid w:val="3B8D78F2"/>
    <w:rsid w:val="3C2576E6"/>
    <w:rsid w:val="3D6518EF"/>
    <w:rsid w:val="3D964FD2"/>
    <w:rsid w:val="422E7E63"/>
    <w:rsid w:val="439D3C12"/>
    <w:rsid w:val="45A14A69"/>
    <w:rsid w:val="467D204A"/>
    <w:rsid w:val="470A5096"/>
    <w:rsid w:val="48BC4BCA"/>
    <w:rsid w:val="4A714293"/>
    <w:rsid w:val="4D422ED7"/>
    <w:rsid w:val="4D823453"/>
    <w:rsid w:val="4DF55781"/>
    <w:rsid w:val="4E484100"/>
    <w:rsid w:val="5293653C"/>
    <w:rsid w:val="53263D9E"/>
    <w:rsid w:val="53891DA6"/>
    <w:rsid w:val="54D60913"/>
    <w:rsid w:val="550F37B7"/>
    <w:rsid w:val="551B649D"/>
    <w:rsid w:val="558141B0"/>
    <w:rsid w:val="572D619A"/>
    <w:rsid w:val="584B152A"/>
    <w:rsid w:val="59392366"/>
    <w:rsid w:val="597F6A69"/>
    <w:rsid w:val="5A8521A6"/>
    <w:rsid w:val="5AE37A3B"/>
    <w:rsid w:val="5B237745"/>
    <w:rsid w:val="5B483D2A"/>
    <w:rsid w:val="5B8B2481"/>
    <w:rsid w:val="5E951D7D"/>
    <w:rsid w:val="5FB406F0"/>
    <w:rsid w:val="5FC01BF7"/>
    <w:rsid w:val="61B946F7"/>
    <w:rsid w:val="62195D38"/>
    <w:rsid w:val="629A5C30"/>
    <w:rsid w:val="639A758C"/>
    <w:rsid w:val="640C6CBA"/>
    <w:rsid w:val="64D13249"/>
    <w:rsid w:val="651241A9"/>
    <w:rsid w:val="659A7DC3"/>
    <w:rsid w:val="66267A90"/>
    <w:rsid w:val="67017ACA"/>
    <w:rsid w:val="6729582E"/>
    <w:rsid w:val="6A072966"/>
    <w:rsid w:val="6A75072A"/>
    <w:rsid w:val="6EDE30E3"/>
    <w:rsid w:val="70F6050A"/>
    <w:rsid w:val="736A6DD2"/>
    <w:rsid w:val="73BC0B4D"/>
    <w:rsid w:val="74046FF2"/>
    <w:rsid w:val="76873944"/>
    <w:rsid w:val="783E1BEE"/>
    <w:rsid w:val="7A275772"/>
    <w:rsid w:val="7C882433"/>
    <w:rsid w:val="7C9825C1"/>
    <w:rsid w:val="7DAC6DA9"/>
    <w:rsid w:val="7DAF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7"/>
    <w:qFormat/>
    <w:uiPriority w:val="0"/>
    <w:pPr>
      <w:ind w:left="100" w:leftChars="2500"/>
    </w:pPr>
    <w:rPr>
      <w:rFonts w:ascii="Times New Roman" w:hAnsi="Times New Roman" w:eastAsia="宋体" w:cs="Times New Roman"/>
      <w:szCs w:val="24"/>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paragraph" w:customStyle="1" w:styleId="11">
    <w:name w:val="p18"/>
    <w:basedOn w:val="1"/>
    <w:qFormat/>
    <w:uiPriority w:val="0"/>
    <w:pPr>
      <w:widowControl/>
      <w:snapToGrid w:val="0"/>
      <w:spacing w:line="312" w:lineRule="atLeast"/>
    </w:pPr>
    <w:rPr>
      <w:rFonts w:ascii="Times New Roman" w:hAnsi="Times New Roman" w:eastAsia="宋体" w:cs="Times New Roman"/>
      <w:kern w:val="0"/>
      <w:szCs w:val="21"/>
    </w:rPr>
  </w:style>
  <w:style w:type="paragraph" w:customStyle="1" w:styleId="12">
    <w:name w:val="p16"/>
    <w:basedOn w:val="1"/>
    <w:qFormat/>
    <w:uiPriority w:val="0"/>
    <w:pPr>
      <w:widowControl/>
      <w:snapToGrid w:val="0"/>
      <w:spacing w:line="312" w:lineRule="atLeast"/>
    </w:pPr>
    <w:rPr>
      <w:rFonts w:ascii="Times New Roman" w:hAnsi="Times New Roman" w:eastAsia="宋体" w:cs="Times New Roman"/>
      <w:kern w:val="0"/>
      <w:szCs w:val="21"/>
    </w:rPr>
  </w:style>
  <w:style w:type="paragraph" w:customStyle="1" w:styleId="13">
    <w:name w:val="p17"/>
    <w:basedOn w:val="1"/>
    <w:qFormat/>
    <w:uiPriority w:val="0"/>
    <w:pPr>
      <w:widowControl/>
      <w:snapToGrid w:val="0"/>
      <w:spacing w:line="312" w:lineRule="atLeast"/>
    </w:pPr>
    <w:rPr>
      <w:rFonts w:ascii="Times New Roman" w:hAnsi="Times New Roman" w:eastAsia="宋体" w:cs="Times New Roman"/>
      <w:kern w:val="0"/>
      <w:szCs w:val="21"/>
    </w:rPr>
  </w:style>
  <w:style w:type="paragraph" w:customStyle="1" w:styleId="14">
    <w:name w:val="p19"/>
    <w:basedOn w:val="1"/>
    <w:qFormat/>
    <w:uiPriority w:val="0"/>
    <w:pPr>
      <w:widowControl/>
    </w:pPr>
    <w:rPr>
      <w:rFonts w:ascii="Times New Roman" w:hAnsi="Times New Roman" w:eastAsia="宋体" w:cs="Times New Roman"/>
      <w:kern w:val="0"/>
      <w:szCs w:val="21"/>
    </w:rPr>
  </w:style>
  <w:style w:type="paragraph" w:customStyle="1" w:styleId="15">
    <w:name w:val="p21"/>
    <w:basedOn w:val="1"/>
    <w:qFormat/>
    <w:uiPriority w:val="0"/>
    <w:pPr>
      <w:widowControl/>
    </w:pPr>
    <w:rPr>
      <w:rFonts w:ascii="Times New Roman" w:hAnsi="Times New Roman" w:eastAsia="宋体" w:cs="Times New Roman"/>
      <w:kern w:val="0"/>
      <w:sz w:val="30"/>
      <w:szCs w:val="30"/>
    </w:rPr>
  </w:style>
  <w:style w:type="paragraph" w:customStyle="1" w:styleId="16">
    <w:name w:val="Char"/>
    <w:basedOn w:val="1"/>
    <w:qFormat/>
    <w:uiPriority w:val="0"/>
    <w:rPr>
      <w:rFonts w:ascii="Times New Roman" w:hAnsi="Times New Roman" w:eastAsia="宋体" w:cs="Times New Roman"/>
      <w:szCs w:val="20"/>
    </w:rPr>
  </w:style>
  <w:style w:type="character" w:customStyle="1" w:styleId="17">
    <w:name w:val="日期 Char"/>
    <w:basedOn w:val="5"/>
    <w:link w:val="2"/>
    <w:qFormat/>
    <w:uiPriority w:val="0"/>
    <w:rPr>
      <w:rFonts w:ascii="Times New Roman" w:hAnsi="Times New Roman" w:eastAsia="宋体" w:cs="Times New Roman"/>
      <w:szCs w:val="24"/>
    </w:rPr>
  </w:style>
  <w:style w:type="paragraph" w:customStyle="1" w:styleId="18">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New New New New New New New New New New New New New New New New New"/>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paragraph" w:customStyle="1" w:styleId="20">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1">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2">
    <w:name w:val="正文 New New New New New New New New New New New New"/>
    <w:qFormat/>
    <w:uiPriority w:val="99"/>
    <w:pPr>
      <w:widowControl w:val="0"/>
      <w:jc w:val="both"/>
    </w:pPr>
    <w:rPr>
      <w:rFonts w:ascii="Times New Roman" w:hAnsi="Times New Roman" w:eastAsia="仿宋_GB2312" w:cs="Times New Roman"/>
      <w:kern w:val="2"/>
      <w:sz w:val="30"/>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248</Words>
  <Characters>1417</Characters>
  <Lines>11</Lines>
  <Paragraphs>3</Paragraphs>
  <TotalTime>95</TotalTime>
  <ScaleCrop>false</ScaleCrop>
  <LinksUpToDate>false</LinksUpToDate>
  <CharactersWithSpaces>1662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2019-05-31T01:54:00Z</dcterms:created>
  <dc:creator>韩旭建</dc:creator>
  <cp:lastModifiedBy>Administrator</cp:lastModifiedBy>
  <cp:lastPrinted>2020-02-13T06:23:00Z</cp:lastPrinted>
  <dcterms:modified xsi:type="dcterms:W3CDTF">2020-02-25T06:13:42Z</dcterms:modified>
  <dc:title>广州市黄埔区市场监督管理局</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