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jc w:val="center"/>
        <w:rPr>
          <w:rFonts w:ascii="宋体" w:hAnsi="宋体" w:cs="宋体"/>
          <w:color w:val="231F20"/>
          <w:sz w:val="42"/>
          <w:szCs w:val="42"/>
          <w:lang w:eastAsia="zh-CN"/>
        </w:rPr>
      </w:pPr>
      <w:r>
        <w:rPr>
          <w:rFonts w:hint="eastAsia" w:ascii="宋体" w:hAnsi="宋体" w:cs="宋体"/>
          <w:color w:val="231F20"/>
          <w:sz w:val="42"/>
          <w:szCs w:val="42"/>
          <w:lang w:eastAsia="zh-CN"/>
        </w:rPr>
        <w:t>广州市黄埔区市场监督管理局</w:t>
      </w:r>
    </w:p>
    <w:p>
      <w:pPr>
        <w:spacing w:before="12"/>
        <w:jc w:val="center"/>
        <w:rPr>
          <w:rFonts w:ascii="华文中宋" w:hAnsi="华文中宋" w:eastAsia="华文中宋" w:cs="宋体"/>
          <w:sz w:val="42"/>
          <w:szCs w:val="42"/>
          <w:lang w:eastAsia="zh-CN"/>
        </w:rPr>
      </w:pPr>
      <w:r>
        <w:rPr>
          <w:rFonts w:hint="eastAsia" w:ascii="华文中宋" w:hAnsi="华文中宋" w:eastAsia="华文中宋" w:cs="宋体"/>
          <w:color w:val="231F20"/>
          <w:sz w:val="42"/>
          <w:szCs w:val="42"/>
          <w:lang w:eastAsia="zh-CN"/>
        </w:rPr>
        <w:t>行政处罚决定书</w:t>
      </w:r>
    </w:p>
    <w:p>
      <w:pPr>
        <w:pStyle w:val="2"/>
        <w:tabs>
          <w:tab w:val="left" w:pos="319"/>
          <w:tab w:val="left" w:pos="1486"/>
          <w:tab w:val="left" w:pos="2353"/>
          <w:tab w:val="left" w:pos="3199"/>
        </w:tabs>
        <w:spacing w:before="92"/>
        <w:ind w:left="0"/>
        <w:jc w:val="center"/>
        <w:rPr>
          <w:rFonts w:ascii="仿宋" w:hAnsi="仿宋" w:eastAsia="仿宋"/>
          <w:lang w:eastAsia="zh-CN"/>
        </w:rPr>
      </w:pPr>
      <w:r>
        <w:rPr>
          <w:rFonts w:hint="eastAsia" w:ascii="仿宋" w:hAnsi="仿宋" w:eastAsia="仿宋"/>
          <w:color w:val="231F20"/>
          <w:lang w:eastAsia="zh-CN"/>
        </w:rPr>
        <w:t>穗埔市监罚〔2019〕大沙1</w:t>
      </w:r>
      <w:r>
        <w:rPr>
          <w:rFonts w:hint="eastAsia" w:ascii="仿宋" w:hAnsi="仿宋" w:eastAsia="仿宋"/>
          <w:color w:val="231F20"/>
          <w:lang w:val="en-US" w:eastAsia="zh-CN"/>
        </w:rPr>
        <w:t>5</w:t>
      </w:r>
      <w:r>
        <w:rPr>
          <w:rFonts w:hint="eastAsia" w:ascii="仿宋" w:hAnsi="仿宋" w:eastAsia="仿宋"/>
          <w:color w:val="231F20"/>
          <w:lang w:eastAsia="zh-CN"/>
        </w:rPr>
        <w:t>号</w:t>
      </w:r>
    </w:p>
    <w:p>
      <w:pPr>
        <w:adjustRightInd w:val="0"/>
        <w:snapToGrid w:val="0"/>
        <w:spacing w:beforeLines="50" w:line="640" w:lineRule="exact"/>
        <w:rPr>
          <w:rFonts w:ascii="仿宋" w:hAnsi="仿宋" w:eastAsia="仿宋"/>
          <w:color w:val="000000"/>
          <w:sz w:val="32"/>
          <w:szCs w:val="32"/>
          <w:u w:val="none" w:color="auto"/>
          <w:lang w:eastAsia="zh-CN"/>
        </w:rPr>
      </w:pPr>
      <w:r>
        <w:rPr>
          <w:rFonts w:hint="eastAsia" w:ascii="仿宋" w:hAnsi="仿宋" w:eastAsia="仿宋"/>
          <w:color w:val="231F20"/>
          <w:sz w:val="32"/>
          <w:szCs w:val="32"/>
          <w:lang w:eastAsia="zh-CN"/>
        </w:rPr>
        <w:t>当事人</w:t>
      </w:r>
      <w:r>
        <w:rPr>
          <w:rFonts w:hint="eastAsia" w:ascii="仿宋" w:hAnsi="仿宋" w:eastAsia="仿宋"/>
          <w:color w:val="231F20"/>
          <w:sz w:val="32"/>
          <w:szCs w:val="32"/>
          <w:u w:val="none" w:color="auto"/>
          <w:lang w:eastAsia="zh-CN"/>
        </w:rPr>
        <w:t>：</w:t>
      </w:r>
      <w:r>
        <w:rPr>
          <w:rFonts w:hint="eastAsia" w:ascii="仿宋" w:hAnsi="仿宋" w:eastAsia="仿宋" w:cs="仿宋"/>
          <w:b w:val="0"/>
          <w:bCs w:val="0"/>
          <w:snapToGrid w:val="0"/>
          <w:sz w:val="32"/>
          <w:szCs w:val="32"/>
          <w:u w:val="none" w:color="auto"/>
          <w:lang w:eastAsia="zh-CN"/>
        </w:rPr>
        <w:t>广州市黄埔区渔加鱼火锅店</w:t>
      </w:r>
      <w:r>
        <w:rPr>
          <w:rFonts w:hint="eastAsia" w:ascii="仿宋" w:hAnsi="仿宋" w:eastAsia="仿宋"/>
          <w:color w:val="231F20"/>
          <w:spacing w:val="-22"/>
          <w:sz w:val="32"/>
          <w:szCs w:val="32"/>
          <w:u w:val="none" w:color="auto"/>
          <w:lang w:eastAsia="zh-CN"/>
        </w:rPr>
        <w:t>（霍知伟）</w:t>
      </w:r>
    </w:p>
    <w:p>
      <w:pPr>
        <w:autoSpaceDE w:val="0"/>
        <w:autoSpaceDN w:val="0"/>
        <w:adjustRightInd w:val="0"/>
        <w:snapToGrid w:val="0"/>
        <w:spacing w:line="640" w:lineRule="exact"/>
        <w:rPr>
          <w:rFonts w:ascii="仿宋" w:hAnsi="仿宋" w:eastAsia="仿宋"/>
          <w:color w:val="231F20"/>
          <w:sz w:val="32"/>
          <w:szCs w:val="32"/>
          <w:u w:val="none" w:color="auto"/>
          <w:lang w:eastAsia="zh-CN"/>
        </w:rPr>
      </w:pPr>
      <w:r>
        <w:rPr>
          <w:rFonts w:hint="eastAsia" w:ascii="仿宋" w:hAnsi="仿宋" w:eastAsia="仿宋"/>
          <w:color w:val="231F20"/>
          <w:sz w:val="32"/>
          <w:szCs w:val="32"/>
          <w:u w:val="none" w:color="auto"/>
          <w:lang w:eastAsia="zh-CN"/>
        </w:rPr>
        <w:t>主体资格证照名称：</w:t>
      </w:r>
      <w:r>
        <w:rPr>
          <w:rFonts w:hint="eastAsia" w:ascii="仿宋" w:hAnsi="仿宋" w:eastAsia="仿宋"/>
          <w:color w:val="000000"/>
          <w:sz w:val="32"/>
          <w:szCs w:val="32"/>
          <w:u w:val="none" w:color="auto"/>
          <w:lang w:eastAsia="zh-CN"/>
        </w:rPr>
        <w:t>《营业执照》</w:t>
      </w:r>
    </w:p>
    <w:p>
      <w:pPr>
        <w:autoSpaceDE w:val="0"/>
        <w:autoSpaceDN w:val="0"/>
        <w:adjustRightInd w:val="0"/>
        <w:snapToGrid w:val="0"/>
        <w:spacing w:line="640" w:lineRule="exact"/>
        <w:rPr>
          <w:rFonts w:hint="eastAsia" w:ascii="仿宋" w:hAnsi="仿宋" w:eastAsia="仿宋" w:cs="宋体"/>
          <w:snapToGrid w:val="0"/>
          <w:color w:val="231F20"/>
          <w:sz w:val="32"/>
          <w:szCs w:val="32"/>
          <w:u w:val="none" w:color="auto"/>
          <w:lang w:eastAsia="zh-CN"/>
        </w:rPr>
      </w:pPr>
      <w:r>
        <w:rPr>
          <w:rFonts w:hint="eastAsia" w:ascii="仿宋" w:hAnsi="仿宋" w:eastAsia="仿宋"/>
          <w:color w:val="231F20"/>
          <w:spacing w:val="-23"/>
          <w:sz w:val="32"/>
          <w:szCs w:val="32"/>
          <w:u w:val="none" w:color="auto"/>
          <w:lang w:eastAsia="zh-CN"/>
        </w:rPr>
        <w:t>统一社会信用代码（注册号</w:t>
      </w:r>
      <w:r>
        <w:rPr>
          <w:rFonts w:hint="eastAsia" w:ascii="仿宋" w:hAnsi="仿宋" w:eastAsia="仿宋" w:cs="宋体"/>
          <w:snapToGrid w:val="0"/>
          <w:color w:val="231F20"/>
          <w:sz w:val="32"/>
          <w:szCs w:val="32"/>
          <w:u w:val="none" w:color="auto"/>
          <w:lang w:eastAsia="zh-CN"/>
        </w:rPr>
        <w:t>）：</w:t>
      </w:r>
      <w:r>
        <w:rPr>
          <w:rFonts w:hint="eastAsia" w:ascii="仿宋" w:hAnsi="仿宋" w:eastAsia="仿宋" w:cs="宋体"/>
          <w:snapToGrid w:val="0"/>
          <w:color w:val="231F20"/>
          <w:sz w:val="32"/>
          <w:szCs w:val="32"/>
          <w:u w:val="none" w:color="auto"/>
          <w:lang w:val="en-US" w:eastAsia="zh-CN"/>
        </w:rPr>
        <w:t>92440101MA59GPD02T</w:t>
      </w:r>
    </w:p>
    <w:p>
      <w:pPr>
        <w:autoSpaceDE w:val="0"/>
        <w:autoSpaceDN w:val="0"/>
        <w:adjustRightInd w:val="0"/>
        <w:snapToGrid w:val="0"/>
        <w:spacing w:line="640" w:lineRule="exact"/>
        <w:rPr>
          <w:rFonts w:hint="eastAsia" w:ascii="仿宋" w:hAnsi="仿宋" w:eastAsia="仿宋"/>
          <w:color w:val="231F20"/>
          <w:spacing w:val="-23"/>
          <w:sz w:val="32"/>
          <w:szCs w:val="32"/>
          <w:u w:val="none" w:color="auto"/>
          <w:lang w:val="en-US" w:eastAsia="zh-CN"/>
        </w:rPr>
      </w:pPr>
      <w:r>
        <w:rPr>
          <w:rFonts w:hint="eastAsia" w:ascii="仿宋" w:hAnsi="仿宋" w:eastAsia="仿宋"/>
          <w:color w:val="231F20"/>
          <w:spacing w:val="-46"/>
          <w:sz w:val="32"/>
          <w:szCs w:val="32"/>
          <w:u w:val="none" w:color="auto"/>
          <w:lang w:eastAsia="zh-CN"/>
        </w:rPr>
        <w:t>住所（住址）</w:t>
      </w:r>
      <w:r>
        <w:rPr>
          <w:rFonts w:hint="eastAsia" w:ascii="仿宋" w:hAnsi="仿宋" w:eastAsia="仿宋"/>
          <w:color w:val="231F20"/>
          <w:spacing w:val="-23"/>
          <w:sz w:val="32"/>
          <w:szCs w:val="32"/>
          <w:u w:val="none" w:color="auto"/>
          <w:lang w:eastAsia="zh-CN"/>
        </w:rPr>
        <w:t>：广州市黄埔区港湾路</w:t>
      </w:r>
      <w:r>
        <w:rPr>
          <w:rFonts w:hint="eastAsia" w:ascii="仿宋" w:hAnsi="仿宋" w:eastAsia="仿宋"/>
          <w:color w:val="231F20"/>
          <w:spacing w:val="-23"/>
          <w:sz w:val="32"/>
          <w:szCs w:val="32"/>
          <w:u w:val="none" w:color="auto"/>
          <w:lang w:val="en-US" w:eastAsia="zh-CN"/>
        </w:rPr>
        <w:t>554号</w:t>
      </w:r>
    </w:p>
    <w:p>
      <w:pPr>
        <w:autoSpaceDE w:val="0"/>
        <w:autoSpaceDN w:val="0"/>
        <w:adjustRightInd w:val="0"/>
        <w:snapToGrid w:val="0"/>
        <w:spacing w:line="640" w:lineRule="exact"/>
        <w:rPr>
          <w:rFonts w:hint="eastAsia" w:ascii="仿宋" w:hAnsi="仿宋" w:eastAsia="仿宋"/>
          <w:color w:val="231F20"/>
          <w:spacing w:val="-9"/>
          <w:sz w:val="32"/>
          <w:szCs w:val="32"/>
          <w:u w:val="none" w:color="auto"/>
          <w:lang w:eastAsia="zh-CN"/>
        </w:rPr>
      </w:pPr>
      <w:r>
        <w:rPr>
          <w:rFonts w:hint="eastAsia" w:ascii="仿宋" w:hAnsi="仿宋" w:eastAsia="仿宋"/>
          <w:color w:val="231F20"/>
          <w:spacing w:val="-9"/>
          <w:sz w:val="32"/>
          <w:szCs w:val="32"/>
          <w:u w:val="none" w:color="auto"/>
          <w:lang w:eastAsia="zh-CN"/>
        </w:rPr>
        <w:t>法定代表人（负责人、经营者）：</w:t>
      </w:r>
      <w:r>
        <w:rPr>
          <w:rFonts w:hint="eastAsia" w:ascii="仿宋" w:hAnsi="仿宋" w:eastAsia="仿宋"/>
          <w:color w:val="231F20"/>
          <w:spacing w:val="-22"/>
          <w:sz w:val="32"/>
          <w:szCs w:val="32"/>
          <w:u w:val="none" w:color="auto"/>
          <w:lang w:eastAsia="zh-CN"/>
        </w:rPr>
        <w:t>霍知伟</w:t>
      </w:r>
    </w:p>
    <w:p>
      <w:pPr>
        <w:autoSpaceDE w:val="0"/>
        <w:autoSpaceDN w:val="0"/>
        <w:adjustRightInd w:val="0"/>
        <w:snapToGrid w:val="0"/>
        <w:spacing w:line="640" w:lineRule="exact"/>
        <w:rPr>
          <w:rFonts w:hint="eastAsia" w:ascii="仿宋" w:hAnsi="仿宋" w:eastAsia="仿宋"/>
          <w:color w:val="231F20"/>
          <w:spacing w:val="-9"/>
          <w:sz w:val="32"/>
          <w:szCs w:val="32"/>
          <w:u w:val="none" w:color="auto"/>
          <w:lang w:eastAsia="zh-CN"/>
        </w:rPr>
      </w:pPr>
      <w:r>
        <w:rPr>
          <w:rFonts w:hint="eastAsia" w:ascii="仿宋" w:hAnsi="仿宋" w:eastAsia="仿宋"/>
          <w:color w:val="231F20"/>
          <w:spacing w:val="-9"/>
          <w:sz w:val="32"/>
          <w:szCs w:val="32"/>
          <w:u w:val="none" w:color="auto"/>
          <w:lang w:eastAsia="zh-CN"/>
        </w:rPr>
        <w:t>身份证（其他有效证件）号码：联系电话：联系地址：</w:t>
      </w:r>
    </w:p>
    <w:p>
      <w:pPr>
        <w:autoSpaceDE w:val="0"/>
        <w:autoSpaceDN w:val="0"/>
        <w:adjustRightInd w:val="0"/>
        <w:snapToGrid w:val="0"/>
        <w:spacing w:line="640" w:lineRule="exact"/>
        <w:rPr>
          <w:rFonts w:hint="eastAsia" w:ascii="仿宋" w:hAnsi="仿宋" w:eastAsia="仿宋"/>
          <w:color w:val="231F20"/>
          <w:spacing w:val="-9"/>
          <w:sz w:val="32"/>
          <w:szCs w:val="32"/>
          <w:u w:val="none" w:color="auto"/>
          <w:lang w:val="en-US" w:eastAsia="zh-CN"/>
        </w:rPr>
      </w:pPr>
    </w:p>
    <w:p>
      <w:pPr>
        <w:autoSpaceDE w:val="0"/>
        <w:autoSpaceDN w:val="0"/>
        <w:spacing w:line="720" w:lineRule="exact"/>
        <w:ind w:firstLine="616" w:firstLineChars="200"/>
        <w:rPr>
          <w:rFonts w:hint="eastAsia" w:ascii="仿宋_GB2312" w:hAnsi="仿宋_GB2312" w:eastAsia="仿宋_GB2312" w:cs="仿宋_GB2312"/>
          <w:color w:val="231F20"/>
          <w:spacing w:val="-6"/>
          <w:kern w:val="0"/>
          <w:sz w:val="32"/>
          <w:szCs w:val="32"/>
          <w:lang w:val="en-US" w:eastAsia="zh-CN"/>
        </w:rPr>
      </w:pPr>
      <w:r>
        <w:rPr>
          <w:rFonts w:hint="eastAsia" w:ascii="仿宋_GB2312" w:hAnsi="仿宋_GB2312" w:eastAsia="仿宋_GB2312" w:cs="仿宋_GB2312"/>
          <w:color w:val="231F20"/>
          <w:spacing w:val="-6"/>
          <w:kern w:val="0"/>
          <w:sz w:val="32"/>
          <w:szCs w:val="32"/>
          <w:lang w:eastAsia="zh-CN"/>
        </w:rPr>
        <w:t>2019年9月</w:t>
      </w:r>
      <w:r>
        <w:rPr>
          <w:rFonts w:hint="eastAsia" w:ascii="仿宋_GB2312" w:hAnsi="仿宋_GB2312" w:eastAsia="仿宋_GB2312" w:cs="仿宋_GB2312"/>
          <w:color w:val="231F20"/>
          <w:spacing w:val="-6"/>
          <w:kern w:val="0"/>
          <w:sz w:val="32"/>
          <w:szCs w:val="32"/>
          <w:lang w:val="en-US" w:eastAsia="zh-CN"/>
        </w:rPr>
        <w:t>17</w:t>
      </w:r>
      <w:r>
        <w:rPr>
          <w:rFonts w:hint="eastAsia" w:ascii="仿宋_GB2312" w:hAnsi="仿宋_GB2312" w:eastAsia="仿宋_GB2312" w:cs="仿宋_GB2312"/>
          <w:color w:val="231F20"/>
          <w:spacing w:val="-6"/>
          <w:kern w:val="0"/>
          <w:sz w:val="32"/>
          <w:szCs w:val="32"/>
          <w:lang w:eastAsia="zh-CN"/>
        </w:rPr>
        <w:t>日，广州市黄埔区市场监督管理局委托广东省质量监督食品检验站对当事人经营的辣椒干抽检。经检验，当事人经营的辣椒干中被检测到二氧化硫残留项目不符合</w:t>
      </w:r>
      <w:r>
        <w:rPr>
          <w:rFonts w:hint="eastAsia" w:ascii="仿宋_GB2312" w:hAnsi="仿宋_GB2312" w:eastAsia="仿宋_GB2312" w:cs="仿宋_GB2312"/>
          <w:color w:val="231F20"/>
          <w:spacing w:val="-6"/>
          <w:kern w:val="0"/>
          <w:sz w:val="32"/>
          <w:szCs w:val="32"/>
          <w:lang w:val="en-US" w:eastAsia="zh-CN"/>
        </w:rPr>
        <w:t>GB2760-2014</w:t>
      </w:r>
      <w:r>
        <w:rPr>
          <w:rFonts w:hint="eastAsia" w:ascii="仿宋_GB2312" w:hAnsi="仿宋_GB2312" w:eastAsia="仿宋_GB2312" w:cs="仿宋_GB2312"/>
          <w:color w:val="231F20"/>
          <w:spacing w:val="-6"/>
          <w:kern w:val="0"/>
          <w:sz w:val="32"/>
          <w:szCs w:val="32"/>
          <w:lang w:eastAsia="zh-CN"/>
        </w:rPr>
        <w:t>要求，检验结论为不合格。</w:t>
      </w:r>
      <w:r>
        <w:rPr>
          <w:rFonts w:hint="eastAsia" w:ascii="仿宋_GB2312" w:hAnsi="仿宋_GB2312" w:eastAsia="仿宋_GB2312" w:cs="仿宋_GB2312"/>
          <w:color w:val="231F20"/>
          <w:spacing w:val="-6"/>
          <w:kern w:val="0"/>
          <w:sz w:val="32"/>
          <w:szCs w:val="32"/>
          <w:lang w:val="en-US" w:eastAsia="zh-CN"/>
        </w:rPr>
        <w:t xml:space="preserve"> </w:t>
      </w:r>
      <w:r>
        <w:rPr>
          <w:rFonts w:hint="eastAsia" w:ascii="仿宋_GB2312" w:hAnsi="仿宋_GB2312" w:eastAsia="仿宋_GB2312" w:cs="仿宋_GB2312"/>
          <w:color w:val="231F20"/>
          <w:spacing w:val="-6"/>
          <w:kern w:val="0"/>
          <w:sz w:val="32"/>
          <w:szCs w:val="32"/>
          <w:lang w:eastAsia="zh-CN"/>
        </w:rPr>
        <w:t>出具《检测报告》（编号：</w:t>
      </w:r>
      <w:r>
        <w:rPr>
          <w:rFonts w:hint="eastAsia" w:ascii="仿宋_GB2312" w:hAnsi="仿宋_GB2312" w:eastAsia="仿宋_GB2312" w:cs="仿宋_GB2312"/>
          <w:color w:val="231F20"/>
          <w:spacing w:val="-6"/>
          <w:kern w:val="0"/>
          <w:sz w:val="32"/>
          <w:szCs w:val="32"/>
          <w:lang w:val="en-US" w:eastAsia="zh-CN"/>
        </w:rPr>
        <w:t>XC19440112596100247</w:t>
      </w:r>
      <w:r>
        <w:rPr>
          <w:rFonts w:hint="eastAsia" w:ascii="仿宋_GB2312" w:hAnsi="仿宋_GB2312" w:eastAsia="仿宋_GB2312" w:cs="仿宋_GB2312"/>
          <w:color w:val="231F20"/>
          <w:spacing w:val="-6"/>
          <w:kern w:val="0"/>
          <w:sz w:val="32"/>
          <w:szCs w:val="32"/>
          <w:lang w:eastAsia="zh-CN"/>
        </w:rPr>
        <w:t>）。</w:t>
      </w:r>
    </w:p>
    <w:p>
      <w:pPr>
        <w:autoSpaceDE w:val="0"/>
        <w:autoSpaceDN w:val="0"/>
        <w:spacing w:line="720" w:lineRule="exact"/>
        <w:ind w:firstLine="616" w:firstLineChars="200"/>
        <w:rPr>
          <w:rFonts w:hint="eastAsia" w:ascii="仿宋_GB2312" w:hAnsi="仿宋_GB2312" w:eastAsia="仿宋_GB2312" w:cs="仿宋_GB2312"/>
          <w:color w:val="231F20"/>
          <w:spacing w:val="-6"/>
          <w:kern w:val="0"/>
          <w:sz w:val="32"/>
          <w:szCs w:val="32"/>
          <w:lang w:val="en-US" w:eastAsia="zh-CN"/>
        </w:rPr>
      </w:pPr>
      <w:r>
        <w:rPr>
          <w:rFonts w:hint="eastAsia" w:ascii="仿宋_GB2312" w:hAnsi="仿宋_GB2312" w:eastAsia="仿宋_GB2312" w:cs="仿宋_GB2312"/>
          <w:color w:val="231F20"/>
          <w:spacing w:val="-6"/>
          <w:kern w:val="0"/>
          <w:sz w:val="32"/>
          <w:szCs w:val="32"/>
          <w:lang w:eastAsia="zh-CN"/>
        </w:rPr>
        <w:t>经查明，当事人</w:t>
      </w:r>
      <w:r>
        <w:rPr>
          <w:rFonts w:hint="eastAsia" w:ascii="仿宋_GB2312" w:hAnsi="仿宋_GB2312" w:eastAsia="仿宋_GB2312" w:cs="仿宋_GB2312"/>
          <w:color w:val="231F20"/>
          <w:spacing w:val="-6"/>
          <w:kern w:val="0"/>
          <w:sz w:val="32"/>
          <w:szCs w:val="32"/>
          <w:lang w:val="en-US" w:eastAsia="zh-CN"/>
        </w:rPr>
        <w:t>于</w:t>
      </w:r>
      <w:r>
        <w:rPr>
          <w:rFonts w:hint="eastAsia" w:ascii="仿宋" w:hAnsi="仿宋" w:eastAsia="仿宋" w:cs="仿宋"/>
          <w:b w:val="0"/>
          <w:bCs w:val="0"/>
          <w:snapToGrid w:val="0"/>
          <w:kern w:val="0"/>
          <w:sz w:val="32"/>
          <w:szCs w:val="32"/>
          <w:lang w:val="en-US" w:eastAsia="zh-CN" w:bidi="ar-SA"/>
        </w:rPr>
        <w:t>2019年9月2日,从广州市白云区松洲川诚调味品批发部购进辣椒干15斤，</w:t>
      </w:r>
      <w:r>
        <w:rPr>
          <w:rFonts w:hint="eastAsia" w:ascii="仿宋_GB2312" w:hAnsi="仿宋_GB2312" w:eastAsia="仿宋_GB2312" w:cs="仿宋_GB2312"/>
          <w:color w:val="231F20"/>
          <w:spacing w:val="-6"/>
          <w:kern w:val="0"/>
          <w:sz w:val="32"/>
          <w:szCs w:val="32"/>
          <w:lang w:eastAsia="zh-CN"/>
        </w:rPr>
        <w:t>其中</w:t>
      </w:r>
      <w:r>
        <w:rPr>
          <w:rFonts w:hint="eastAsia" w:ascii="仿宋_GB2312" w:hAnsi="仿宋_GB2312" w:eastAsia="仿宋_GB2312" w:cs="仿宋_GB2312"/>
          <w:color w:val="231F20"/>
          <w:spacing w:val="-6"/>
          <w:kern w:val="0"/>
          <w:sz w:val="32"/>
          <w:szCs w:val="32"/>
          <w:lang w:val="en-US" w:eastAsia="zh-CN"/>
        </w:rPr>
        <w:t>1.5</w:t>
      </w:r>
      <w:r>
        <w:rPr>
          <w:rFonts w:hint="eastAsia" w:ascii="仿宋_GB2312" w:hAnsi="仿宋_GB2312" w:eastAsia="仿宋_GB2312" w:cs="仿宋_GB2312"/>
          <w:color w:val="231F20"/>
          <w:spacing w:val="-6"/>
          <w:kern w:val="0"/>
          <w:sz w:val="32"/>
          <w:szCs w:val="32"/>
          <w:lang w:eastAsia="zh-CN"/>
        </w:rPr>
        <w:t>斤由广东省质量监督食品检验站购买做为抽检样品，其余全部用于餐厅经营。至案发之日前已全部使用完毕，进货价</w:t>
      </w:r>
      <w:r>
        <w:rPr>
          <w:rFonts w:hint="eastAsia" w:ascii="仿宋" w:hAnsi="仿宋" w:eastAsia="仿宋" w:cs="仿宋"/>
          <w:b w:val="0"/>
          <w:bCs w:val="0"/>
          <w:snapToGrid w:val="0"/>
          <w:kern w:val="0"/>
          <w:sz w:val="32"/>
          <w:szCs w:val="32"/>
          <w:lang w:val="en-US" w:eastAsia="zh-CN" w:bidi="ar-SA"/>
        </w:rPr>
        <w:t>元</w:t>
      </w:r>
      <w:r>
        <w:rPr>
          <w:rFonts w:hint="eastAsia" w:ascii="仿宋_GB2312" w:hAnsi="仿宋_GB2312" w:eastAsia="仿宋_GB2312" w:cs="仿宋_GB2312"/>
          <w:color w:val="231F20"/>
          <w:spacing w:val="-6"/>
          <w:kern w:val="0"/>
          <w:sz w:val="32"/>
          <w:szCs w:val="32"/>
          <w:lang w:val="en-US" w:eastAsia="zh-CN"/>
        </w:rPr>
        <w:t>/斤，</w:t>
      </w:r>
      <w:r>
        <w:rPr>
          <w:rFonts w:hint="eastAsia" w:ascii="仿宋_GB2312" w:hAnsi="仿宋_GB2312" w:eastAsia="仿宋_GB2312" w:cs="仿宋_GB2312"/>
          <w:color w:val="231F20"/>
          <w:spacing w:val="-6"/>
          <w:kern w:val="0"/>
          <w:sz w:val="32"/>
          <w:szCs w:val="32"/>
          <w:lang w:eastAsia="zh-CN"/>
        </w:rPr>
        <w:t>售出价</w:t>
      </w:r>
      <w:r>
        <w:rPr>
          <w:rFonts w:hint="eastAsia" w:ascii="仿宋_GB2312" w:hAnsi="仿宋_GB2312" w:eastAsia="仿宋_GB2312" w:cs="仿宋_GB2312"/>
          <w:color w:val="231F20"/>
          <w:spacing w:val="-6"/>
          <w:kern w:val="0"/>
          <w:sz w:val="32"/>
          <w:szCs w:val="32"/>
          <w:lang w:val="en-US" w:eastAsia="zh-CN"/>
        </w:rPr>
        <w:t>为元/斤，货值为</w:t>
      </w:r>
      <w:bookmarkStart w:id="0" w:name="_GoBack"/>
      <w:bookmarkEnd w:id="0"/>
      <w:r>
        <w:rPr>
          <w:rFonts w:hint="eastAsia" w:ascii="仿宋_GB2312" w:hAnsi="仿宋_GB2312" w:eastAsia="仿宋_GB2312" w:cs="仿宋_GB2312"/>
          <w:color w:val="231F20"/>
          <w:spacing w:val="-6"/>
          <w:kern w:val="0"/>
          <w:sz w:val="32"/>
          <w:szCs w:val="32"/>
          <w:lang w:val="en-US" w:eastAsia="zh-CN"/>
        </w:rPr>
        <w:t>元，违法所得为1080元。</w:t>
      </w:r>
    </w:p>
    <w:p>
      <w:pPr>
        <w:autoSpaceDE w:val="0"/>
        <w:autoSpaceDN w:val="0"/>
        <w:spacing w:line="720" w:lineRule="exact"/>
        <w:ind w:firstLine="592" w:firstLineChars="200"/>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上述事实，主要有以下证据证明：</w:t>
      </w:r>
    </w:p>
    <w:p>
      <w:pPr>
        <w:keepNext w:val="0"/>
        <w:keepLines w:val="0"/>
        <w:pageBreakBefore w:val="0"/>
        <w:widowControl w:val="0"/>
        <w:kinsoku/>
        <w:wordWrap w:val="0"/>
        <w:overflowPunct/>
        <w:topLinePunct w:val="0"/>
        <w:autoSpaceDE/>
        <w:autoSpaceDN/>
        <w:bidi w:val="0"/>
        <w:adjustRightInd w:val="0"/>
        <w:snapToGrid w:val="0"/>
        <w:spacing w:line="600" w:lineRule="exact"/>
        <w:jc w:val="both"/>
        <w:textAlignment w:val="baseline"/>
        <w:outlineLvl w:val="9"/>
        <w:rPr>
          <w:rFonts w:hint="eastAsia" w:ascii="仿宋_GB2312" w:hAnsi="仿宋_GB2312" w:eastAsia="仿宋_GB2312" w:cs="仿宋_GB2312"/>
          <w:color w:val="231F20"/>
          <w:spacing w:val="-6"/>
          <w:kern w:val="0"/>
          <w:sz w:val="32"/>
          <w:szCs w:val="32"/>
          <w:lang w:eastAsia="zh-CN"/>
        </w:rPr>
      </w:pPr>
      <w:r>
        <w:rPr>
          <w:rFonts w:hint="eastAsia" w:ascii="仿宋_GB2312" w:hAnsi="仿宋_GB2312" w:eastAsia="仿宋_GB2312" w:cs="仿宋_GB2312"/>
          <w:color w:val="231F20"/>
          <w:spacing w:val="-6"/>
          <w:kern w:val="0"/>
          <w:sz w:val="32"/>
          <w:szCs w:val="32"/>
          <w:lang w:eastAsia="zh-CN"/>
        </w:rPr>
        <w:t>1、现场检查时制作的《现场检查笔录》；</w:t>
      </w:r>
      <w:r>
        <w:rPr>
          <w:rFonts w:hint="eastAsia" w:ascii="仿宋_GB2312" w:hAnsi="仿宋_GB2312" w:eastAsia="仿宋_GB2312" w:cs="仿宋_GB2312"/>
          <w:color w:val="231F20"/>
          <w:spacing w:val="-6"/>
          <w:kern w:val="0"/>
          <w:sz w:val="32"/>
          <w:szCs w:val="32"/>
          <w:lang w:eastAsia="zh-CN"/>
        </w:rPr>
        <w:tab/>
      </w:r>
      <w:r>
        <w:rPr>
          <w:rFonts w:hint="eastAsia" w:ascii="仿宋_GB2312" w:hAnsi="仿宋_GB2312" w:eastAsia="仿宋_GB2312" w:cs="仿宋_GB2312"/>
          <w:color w:val="231F20"/>
          <w:spacing w:val="-6"/>
          <w:kern w:val="0"/>
          <w:sz w:val="32"/>
          <w:szCs w:val="32"/>
          <w:lang w:eastAsia="zh-CN"/>
        </w:rPr>
        <w:tab/>
      </w:r>
    </w:p>
    <w:p>
      <w:pPr>
        <w:keepNext w:val="0"/>
        <w:keepLines w:val="0"/>
        <w:pageBreakBefore w:val="0"/>
        <w:widowControl w:val="0"/>
        <w:kinsoku/>
        <w:wordWrap w:val="0"/>
        <w:overflowPunct/>
        <w:topLinePunct w:val="0"/>
        <w:autoSpaceDE/>
        <w:autoSpaceDN/>
        <w:bidi w:val="0"/>
        <w:adjustRightInd w:val="0"/>
        <w:snapToGrid w:val="0"/>
        <w:spacing w:line="600" w:lineRule="exact"/>
        <w:jc w:val="both"/>
        <w:textAlignment w:val="baseline"/>
        <w:outlineLvl w:val="9"/>
        <w:rPr>
          <w:rFonts w:hint="eastAsia" w:ascii="仿宋_GB2312" w:hAnsi="仿宋_GB2312" w:eastAsia="仿宋_GB2312" w:cs="仿宋_GB2312"/>
          <w:color w:val="231F20"/>
          <w:spacing w:val="-6"/>
          <w:w w:val="90"/>
          <w:kern w:val="0"/>
          <w:sz w:val="32"/>
          <w:szCs w:val="32"/>
          <w:lang w:eastAsia="zh-CN"/>
        </w:rPr>
      </w:pPr>
      <w:r>
        <w:rPr>
          <w:rFonts w:hint="eastAsia" w:ascii="仿宋_GB2312" w:hAnsi="仿宋_GB2312" w:eastAsia="仿宋_GB2312" w:cs="仿宋_GB2312"/>
          <w:color w:val="231F20"/>
          <w:spacing w:val="-6"/>
          <w:kern w:val="0"/>
          <w:sz w:val="32"/>
          <w:szCs w:val="32"/>
          <w:lang w:eastAsia="zh-CN"/>
        </w:rPr>
        <w:t>2、</w:t>
      </w:r>
      <w:r>
        <w:rPr>
          <w:rFonts w:hint="eastAsia" w:ascii="仿宋_GB2312" w:hAnsi="仿宋_GB2312" w:eastAsia="仿宋_GB2312" w:cs="仿宋_GB2312"/>
          <w:color w:val="231F20"/>
          <w:spacing w:val="-6"/>
          <w:w w:val="90"/>
          <w:kern w:val="0"/>
          <w:sz w:val="32"/>
          <w:szCs w:val="32"/>
          <w:lang w:eastAsia="zh-CN"/>
        </w:rPr>
        <w:t>《黄埔区食品安全抽样检验抽样单》；</w:t>
      </w:r>
    </w:p>
    <w:p>
      <w:pPr>
        <w:keepNext w:val="0"/>
        <w:keepLines w:val="0"/>
        <w:pageBreakBefore w:val="0"/>
        <w:widowControl w:val="0"/>
        <w:kinsoku/>
        <w:wordWrap w:val="0"/>
        <w:overflowPunct/>
        <w:topLinePunct w:val="0"/>
        <w:autoSpaceDE/>
        <w:autoSpaceDN/>
        <w:bidi w:val="0"/>
        <w:adjustRightInd w:val="0"/>
        <w:snapToGrid w:val="0"/>
        <w:spacing w:line="600" w:lineRule="exact"/>
        <w:jc w:val="both"/>
        <w:textAlignment w:val="baseline"/>
        <w:outlineLvl w:val="9"/>
        <w:rPr>
          <w:rFonts w:hint="eastAsia" w:ascii="仿宋_GB2312" w:hAnsi="仿宋_GB2312" w:eastAsia="仿宋_GB2312" w:cs="仿宋_GB2312"/>
          <w:color w:val="231F20"/>
          <w:spacing w:val="-6"/>
          <w:kern w:val="0"/>
          <w:sz w:val="32"/>
          <w:szCs w:val="32"/>
          <w:lang w:eastAsia="zh-CN"/>
        </w:rPr>
      </w:pPr>
      <w:r>
        <w:rPr>
          <w:rFonts w:hint="eastAsia" w:ascii="仿宋_GB2312" w:hAnsi="仿宋_GB2312" w:eastAsia="仿宋_GB2312" w:cs="仿宋_GB2312"/>
          <w:color w:val="231F20"/>
          <w:spacing w:val="-6"/>
          <w:kern w:val="0"/>
          <w:sz w:val="32"/>
          <w:szCs w:val="32"/>
          <w:lang w:eastAsia="zh-CN"/>
        </w:rPr>
        <w:t>3、《检验报告》（</w:t>
      </w:r>
      <w:r>
        <w:rPr>
          <w:rFonts w:hint="eastAsia" w:ascii="仿宋" w:hAnsi="仿宋" w:eastAsia="仿宋"/>
          <w:color w:val="231F20"/>
          <w:spacing w:val="-22"/>
          <w:sz w:val="32"/>
          <w:szCs w:val="32"/>
          <w:lang w:val="en-US" w:eastAsia="zh-CN"/>
        </w:rPr>
        <w:t>XC19440112596100247</w:t>
      </w:r>
      <w:r>
        <w:rPr>
          <w:rFonts w:hint="eastAsia" w:ascii="仿宋" w:hAnsi="仿宋" w:eastAsia="仿宋"/>
          <w:color w:val="231F20"/>
          <w:spacing w:val="-22"/>
          <w:sz w:val="32"/>
          <w:szCs w:val="32"/>
          <w:lang w:eastAsia="zh-CN"/>
        </w:rPr>
        <w:t>）</w:t>
      </w:r>
      <w:r>
        <w:rPr>
          <w:rFonts w:hint="eastAsia" w:ascii="仿宋_GB2312" w:hAnsi="仿宋_GB2312" w:eastAsia="仿宋_GB2312" w:cs="仿宋_GB2312"/>
          <w:color w:val="231F20"/>
          <w:spacing w:val="-6"/>
          <w:kern w:val="0"/>
          <w:sz w:val="32"/>
          <w:szCs w:val="32"/>
          <w:lang w:eastAsia="zh-CN"/>
        </w:rPr>
        <w:t>）原件；</w:t>
      </w:r>
      <w:r>
        <w:rPr>
          <w:rFonts w:hint="eastAsia" w:ascii="仿宋_GB2312" w:hAnsi="仿宋_GB2312" w:eastAsia="仿宋_GB2312" w:cs="仿宋_GB2312"/>
          <w:color w:val="231F20"/>
          <w:spacing w:val="-6"/>
          <w:kern w:val="0"/>
          <w:sz w:val="32"/>
          <w:szCs w:val="32"/>
          <w:lang w:eastAsia="zh-CN"/>
        </w:rPr>
        <w:tab/>
      </w:r>
      <w:r>
        <w:rPr>
          <w:rFonts w:hint="eastAsia" w:ascii="仿宋_GB2312" w:hAnsi="仿宋_GB2312" w:eastAsia="仿宋_GB2312" w:cs="仿宋_GB2312"/>
          <w:color w:val="231F20"/>
          <w:spacing w:val="-6"/>
          <w:kern w:val="0"/>
          <w:sz w:val="32"/>
          <w:szCs w:val="32"/>
          <w:lang w:eastAsia="zh-CN"/>
        </w:rPr>
        <w:tab/>
      </w:r>
      <w:r>
        <w:rPr>
          <w:rFonts w:hint="eastAsia" w:ascii="仿宋_GB2312" w:hAnsi="仿宋_GB2312" w:eastAsia="仿宋_GB2312" w:cs="仿宋_GB2312"/>
          <w:color w:val="231F20"/>
          <w:spacing w:val="-6"/>
          <w:kern w:val="0"/>
          <w:sz w:val="32"/>
          <w:szCs w:val="32"/>
          <w:lang w:eastAsia="zh-CN"/>
        </w:rPr>
        <w:tab/>
      </w:r>
    </w:p>
    <w:p>
      <w:pPr>
        <w:keepNext w:val="0"/>
        <w:keepLines w:val="0"/>
        <w:pageBreakBefore w:val="0"/>
        <w:widowControl w:val="0"/>
        <w:kinsoku/>
        <w:wordWrap w:val="0"/>
        <w:overflowPunct/>
        <w:topLinePunct w:val="0"/>
        <w:autoSpaceDE/>
        <w:autoSpaceDN/>
        <w:bidi w:val="0"/>
        <w:adjustRightInd w:val="0"/>
        <w:snapToGrid w:val="0"/>
        <w:spacing w:line="600" w:lineRule="exact"/>
        <w:jc w:val="both"/>
        <w:textAlignment w:val="baseline"/>
        <w:outlineLvl w:val="9"/>
        <w:rPr>
          <w:rFonts w:hint="eastAsia" w:ascii="仿宋_GB2312" w:hAnsi="仿宋_GB2312" w:eastAsia="仿宋_GB2312" w:cs="仿宋_GB2312"/>
          <w:color w:val="231F20"/>
          <w:spacing w:val="-6"/>
          <w:kern w:val="0"/>
          <w:sz w:val="32"/>
          <w:szCs w:val="32"/>
          <w:lang w:eastAsia="zh-CN"/>
        </w:rPr>
      </w:pPr>
      <w:r>
        <w:rPr>
          <w:rFonts w:hint="eastAsia" w:ascii="仿宋_GB2312" w:hAnsi="仿宋_GB2312" w:eastAsia="仿宋_GB2312" w:cs="仿宋_GB2312"/>
          <w:color w:val="231F20"/>
          <w:spacing w:val="-6"/>
          <w:kern w:val="0"/>
          <w:sz w:val="32"/>
          <w:szCs w:val="32"/>
          <w:lang w:val="en-US" w:eastAsia="zh-CN"/>
        </w:rPr>
        <w:t>4</w:t>
      </w:r>
      <w:r>
        <w:rPr>
          <w:rFonts w:hint="eastAsia" w:ascii="仿宋_GB2312" w:hAnsi="仿宋_GB2312" w:eastAsia="仿宋_GB2312" w:cs="仿宋_GB2312"/>
          <w:color w:val="231F20"/>
          <w:spacing w:val="-6"/>
          <w:kern w:val="0"/>
          <w:sz w:val="32"/>
          <w:szCs w:val="32"/>
          <w:lang w:eastAsia="zh-CN"/>
        </w:rPr>
        <w:t>、对当事人</w:t>
      </w:r>
      <w:r>
        <w:rPr>
          <w:rFonts w:hint="eastAsia" w:ascii="仿宋" w:hAnsi="仿宋" w:eastAsia="仿宋" w:cs="仿宋"/>
          <w:b w:val="0"/>
          <w:bCs w:val="0"/>
          <w:snapToGrid w:val="0"/>
          <w:sz w:val="32"/>
          <w:szCs w:val="32"/>
          <w:lang w:eastAsia="zh-CN"/>
        </w:rPr>
        <w:t>霍知伟</w:t>
      </w:r>
      <w:r>
        <w:rPr>
          <w:rFonts w:hint="eastAsia" w:ascii="仿宋_GB2312" w:hAnsi="仿宋_GB2312" w:eastAsia="仿宋_GB2312" w:cs="仿宋_GB2312"/>
          <w:color w:val="231F20"/>
          <w:spacing w:val="-6"/>
          <w:kern w:val="0"/>
          <w:sz w:val="32"/>
          <w:szCs w:val="32"/>
          <w:lang w:eastAsia="zh-CN"/>
        </w:rPr>
        <w:t>的《询问调查笔录》;</w:t>
      </w:r>
      <w:r>
        <w:rPr>
          <w:rFonts w:hint="eastAsia" w:ascii="仿宋_GB2312" w:hAnsi="仿宋_GB2312" w:eastAsia="仿宋_GB2312" w:cs="仿宋_GB2312"/>
          <w:color w:val="231F20"/>
          <w:spacing w:val="-6"/>
          <w:kern w:val="0"/>
          <w:sz w:val="32"/>
          <w:szCs w:val="32"/>
          <w:lang w:eastAsia="zh-CN"/>
        </w:rPr>
        <w:tab/>
      </w:r>
      <w:r>
        <w:rPr>
          <w:rFonts w:hint="eastAsia" w:ascii="仿宋_GB2312" w:hAnsi="仿宋_GB2312" w:eastAsia="仿宋_GB2312" w:cs="仿宋_GB2312"/>
          <w:color w:val="231F20"/>
          <w:spacing w:val="-6"/>
          <w:kern w:val="0"/>
          <w:sz w:val="32"/>
          <w:szCs w:val="32"/>
          <w:lang w:eastAsia="zh-CN"/>
        </w:rPr>
        <w:tab/>
      </w:r>
      <w:r>
        <w:rPr>
          <w:rFonts w:hint="eastAsia" w:ascii="仿宋_GB2312" w:hAnsi="仿宋_GB2312" w:eastAsia="仿宋_GB2312" w:cs="仿宋_GB2312"/>
          <w:color w:val="231F20"/>
          <w:spacing w:val="-6"/>
          <w:kern w:val="0"/>
          <w:sz w:val="32"/>
          <w:szCs w:val="32"/>
          <w:lang w:eastAsia="zh-CN"/>
        </w:rPr>
        <w:tab/>
      </w:r>
    </w:p>
    <w:p>
      <w:pPr>
        <w:keepNext w:val="0"/>
        <w:keepLines w:val="0"/>
        <w:pageBreakBefore w:val="0"/>
        <w:widowControl w:val="0"/>
        <w:kinsoku/>
        <w:wordWrap w:val="0"/>
        <w:overflowPunct/>
        <w:topLinePunct w:val="0"/>
        <w:autoSpaceDE/>
        <w:autoSpaceDN/>
        <w:bidi w:val="0"/>
        <w:adjustRightInd w:val="0"/>
        <w:snapToGrid w:val="0"/>
        <w:spacing w:line="600" w:lineRule="exact"/>
        <w:jc w:val="both"/>
        <w:textAlignment w:val="baseline"/>
        <w:outlineLvl w:val="9"/>
        <w:rPr>
          <w:rFonts w:hint="eastAsia" w:ascii="仿宋_GB2312" w:hAnsi="仿宋_GB2312" w:eastAsia="仿宋_GB2312" w:cs="仿宋_GB2312"/>
          <w:color w:val="231F20"/>
          <w:spacing w:val="-6"/>
          <w:kern w:val="0"/>
          <w:sz w:val="32"/>
          <w:szCs w:val="32"/>
          <w:lang w:eastAsia="zh-CN"/>
        </w:rPr>
      </w:pPr>
      <w:r>
        <w:rPr>
          <w:rFonts w:hint="eastAsia" w:ascii="仿宋_GB2312" w:hAnsi="仿宋_GB2312" w:eastAsia="仿宋_GB2312" w:cs="仿宋_GB2312"/>
          <w:color w:val="231F20"/>
          <w:spacing w:val="-6"/>
          <w:kern w:val="0"/>
          <w:sz w:val="32"/>
          <w:szCs w:val="32"/>
          <w:lang w:val="en-US" w:eastAsia="zh-CN"/>
        </w:rPr>
        <w:t>5</w:t>
      </w:r>
      <w:r>
        <w:rPr>
          <w:rFonts w:hint="eastAsia" w:ascii="仿宋_GB2312" w:hAnsi="仿宋_GB2312" w:eastAsia="仿宋_GB2312" w:cs="仿宋_GB2312"/>
          <w:color w:val="231F20"/>
          <w:spacing w:val="-6"/>
          <w:kern w:val="0"/>
          <w:sz w:val="32"/>
          <w:szCs w:val="32"/>
          <w:lang w:eastAsia="zh-CN"/>
        </w:rPr>
        <w:t>、当事人</w:t>
      </w:r>
      <w:r>
        <w:rPr>
          <w:rFonts w:hint="eastAsia" w:ascii="仿宋" w:hAnsi="仿宋" w:eastAsia="仿宋" w:cs="仿宋"/>
          <w:b w:val="0"/>
          <w:bCs w:val="0"/>
          <w:snapToGrid w:val="0"/>
          <w:sz w:val="32"/>
          <w:szCs w:val="32"/>
          <w:lang w:eastAsia="zh-CN"/>
        </w:rPr>
        <w:t>霍知伟</w:t>
      </w:r>
      <w:r>
        <w:rPr>
          <w:rFonts w:hint="eastAsia" w:ascii="仿宋_GB2312" w:hAnsi="仿宋_GB2312" w:eastAsia="仿宋_GB2312" w:cs="仿宋_GB2312"/>
          <w:color w:val="231F20"/>
          <w:spacing w:val="-6"/>
          <w:kern w:val="0"/>
          <w:sz w:val="32"/>
          <w:szCs w:val="32"/>
          <w:lang w:eastAsia="zh-CN"/>
        </w:rPr>
        <w:t>的身份证复印件；</w:t>
      </w:r>
    </w:p>
    <w:p>
      <w:pPr>
        <w:keepNext w:val="0"/>
        <w:keepLines w:val="0"/>
        <w:pageBreakBefore w:val="0"/>
        <w:widowControl w:val="0"/>
        <w:kinsoku/>
        <w:wordWrap w:val="0"/>
        <w:overflowPunct/>
        <w:topLinePunct w:val="0"/>
        <w:autoSpaceDE/>
        <w:autoSpaceDN/>
        <w:bidi w:val="0"/>
        <w:adjustRightInd w:val="0"/>
        <w:snapToGrid w:val="0"/>
        <w:spacing w:line="600" w:lineRule="exact"/>
        <w:jc w:val="both"/>
        <w:textAlignment w:val="baseline"/>
        <w:outlineLvl w:val="9"/>
        <w:rPr>
          <w:rFonts w:hint="eastAsia" w:ascii="仿宋_GB2312" w:hAnsi="仿宋_GB2312" w:eastAsia="仿宋_GB2312" w:cs="仿宋_GB2312"/>
          <w:color w:val="231F20"/>
          <w:spacing w:val="-6"/>
          <w:kern w:val="0"/>
          <w:sz w:val="32"/>
          <w:szCs w:val="32"/>
          <w:lang w:eastAsia="zh-CN"/>
        </w:rPr>
      </w:pPr>
      <w:r>
        <w:rPr>
          <w:rFonts w:hint="eastAsia" w:ascii="仿宋_GB2312" w:hAnsi="仿宋_GB2312" w:eastAsia="仿宋_GB2312" w:cs="仿宋_GB2312"/>
          <w:color w:val="231F20"/>
          <w:spacing w:val="-6"/>
          <w:kern w:val="0"/>
          <w:sz w:val="32"/>
          <w:szCs w:val="32"/>
          <w:lang w:val="en-US" w:eastAsia="zh-CN"/>
        </w:rPr>
        <w:t>6</w:t>
      </w:r>
      <w:r>
        <w:rPr>
          <w:rFonts w:hint="eastAsia" w:ascii="仿宋_GB2312" w:hAnsi="仿宋_GB2312" w:eastAsia="仿宋_GB2312" w:cs="仿宋_GB2312"/>
          <w:color w:val="231F20"/>
          <w:spacing w:val="-6"/>
          <w:kern w:val="0"/>
          <w:sz w:val="32"/>
          <w:szCs w:val="32"/>
          <w:lang w:eastAsia="zh-CN"/>
        </w:rPr>
        <w:t>、</w:t>
      </w:r>
      <w:r>
        <w:rPr>
          <w:rFonts w:hint="eastAsia" w:ascii="仿宋" w:hAnsi="仿宋" w:eastAsia="仿宋" w:cs="仿宋"/>
          <w:b w:val="0"/>
          <w:bCs w:val="0"/>
          <w:snapToGrid w:val="0"/>
          <w:sz w:val="32"/>
          <w:szCs w:val="32"/>
          <w:u w:val="none" w:color="auto"/>
          <w:lang w:eastAsia="zh-CN"/>
        </w:rPr>
        <w:t>广州市黄埔区渔加鱼火锅店</w:t>
      </w:r>
      <w:r>
        <w:rPr>
          <w:rFonts w:hint="eastAsia" w:ascii="仿宋_GB2312" w:hAnsi="仿宋_GB2312" w:eastAsia="仿宋_GB2312" w:cs="仿宋_GB2312"/>
          <w:color w:val="231F20"/>
          <w:spacing w:val="-6"/>
          <w:kern w:val="0"/>
          <w:sz w:val="32"/>
          <w:szCs w:val="32"/>
          <w:lang w:eastAsia="zh-CN"/>
        </w:rPr>
        <w:t xml:space="preserve">的营业执照复印件； </w:t>
      </w:r>
    </w:p>
    <w:p>
      <w:pPr>
        <w:keepNext w:val="0"/>
        <w:keepLines w:val="0"/>
        <w:pageBreakBefore w:val="0"/>
        <w:widowControl w:val="0"/>
        <w:kinsoku/>
        <w:wordWrap w:val="0"/>
        <w:overflowPunct/>
        <w:topLinePunct w:val="0"/>
        <w:autoSpaceDE/>
        <w:autoSpaceDN/>
        <w:bidi w:val="0"/>
        <w:adjustRightInd w:val="0"/>
        <w:snapToGrid w:val="0"/>
        <w:spacing w:line="600" w:lineRule="exact"/>
        <w:jc w:val="both"/>
        <w:textAlignment w:val="baseline"/>
        <w:outlineLvl w:val="9"/>
        <w:rPr>
          <w:rFonts w:hint="eastAsia" w:ascii="仿宋_GB2312" w:hAnsi="仿宋_GB2312" w:eastAsia="仿宋_GB2312" w:cs="仿宋_GB2312"/>
          <w:color w:val="231F20"/>
          <w:spacing w:val="-6"/>
          <w:kern w:val="0"/>
          <w:sz w:val="32"/>
          <w:szCs w:val="32"/>
          <w:lang w:eastAsia="zh-CN"/>
        </w:rPr>
      </w:pPr>
      <w:r>
        <w:rPr>
          <w:rFonts w:hint="eastAsia" w:ascii="仿宋_GB2312" w:hAnsi="仿宋_GB2312" w:eastAsia="仿宋_GB2312" w:cs="仿宋_GB2312"/>
          <w:color w:val="231F20"/>
          <w:spacing w:val="-6"/>
          <w:kern w:val="0"/>
          <w:sz w:val="32"/>
          <w:szCs w:val="32"/>
          <w:lang w:val="en-US" w:eastAsia="zh-CN"/>
        </w:rPr>
        <w:t>7</w:t>
      </w:r>
      <w:r>
        <w:rPr>
          <w:rFonts w:hint="eastAsia" w:ascii="仿宋_GB2312" w:hAnsi="仿宋_GB2312" w:eastAsia="仿宋_GB2312" w:cs="仿宋_GB2312"/>
          <w:color w:val="231F20"/>
          <w:spacing w:val="-6"/>
          <w:kern w:val="0"/>
          <w:sz w:val="32"/>
          <w:szCs w:val="32"/>
          <w:lang w:eastAsia="zh-CN"/>
        </w:rPr>
        <w:t>、</w:t>
      </w:r>
      <w:r>
        <w:rPr>
          <w:rFonts w:hint="eastAsia" w:ascii="仿宋" w:hAnsi="仿宋" w:eastAsia="仿宋" w:cs="仿宋"/>
          <w:b w:val="0"/>
          <w:bCs w:val="0"/>
          <w:snapToGrid w:val="0"/>
          <w:kern w:val="0"/>
          <w:sz w:val="32"/>
          <w:szCs w:val="32"/>
          <w:lang w:val="en-US" w:eastAsia="zh-CN" w:bidi="ar-SA"/>
        </w:rPr>
        <w:t>广州市白云区松洲川诚调味品批发部（地址：广州市白云区增槎路槎头路段新源粮油副食品综合批发市场C119、120档）</w:t>
      </w:r>
      <w:r>
        <w:rPr>
          <w:rFonts w:hint="eastAsia" w:ascii="仿宋_GB2312" w:hAnsi="仿宋_GB2312" w:eastAsia="仿宋_GB2312" w:cs="仿宋_GB2312"/>
          <w:color w:val="231F20"/>
          <w:spacing w:val="-6"/>
          <w:kern w:val="0"/>
          <w:sz w:val="32"/>
          <w:szCs w:val="32"/>
          <w:lang w:eastAsia="zh-CN"/>
        </w:rPr>
        <w:t xml:space="preserve">的工商营业执照和食品经营许可证复印件； </w:t>
      </w:r>
    </w:p>
    <w:p>
      <w:pPr>
        <w:keepNext w:val="0"/>
        <w:keepLines w:val="0"/>
        <w:pageBreakBefore w:val="0"/>
        <w:widowControl w:val="0"/>
        <w:kinsoku/>
        <w:wordWrap w:val="0"/>
        <w:overflowPunct/>
        <w:topLinePunct w:val="0"/>
        <w:autoSpaceDE/>
        <w:autoSpaceDN/>
        <w:bidi w:val="0"/>
        <w:adjustRightInd w:val="0"/>
        <w:snapToGrid w:val="0"/>
        <w:spacing w:line="600" w:lineRule="exact"/>
        <w:jc w:val="both"/>
        <w:textAlignment w:val="baseline"/>
        <w:outlineLvl w:val="9"/>
        <w:rPr>
          <w:rFonts w:hint="eastAsia" w:ascii="仿宋_GB2312" w:hAnsi="仿宋_GB2312" w:eastAsia="仿宋_GB2312" w:cs="仿宋_GB2312"/>
          <w:color w:val="231F20"/>
          <w:spacing w:val="-6"/>
          <w:kern w:val="0"/>
          <w:sz w:val="32"/>
          <w:szCs w:val="32"/>
          <w:lang w:eastAsia="zh-CN"/>
        </w:rPr>
      </w:pPr>
      <w:r>
        <w:rPr>
          <w:rFonts w:hint="eastAsia" w:ascii="仿宋_GB2312" w:hAnsi="仿宋_GB2312" w:eastAsia="仿宋_GB2312" w:cs="仿宋_GB2312"/>
          <w:color w:val="231F20"/>
          <w:spacing w:val="-6"/>
          <w:kern w:val="0"/>
          <w:sz w:val="32"/>
          <w:szCs w:val="32"/>
          <w:lang w:val="en-US" w:eastAsia="zh-CN"/>
        </w:rPr>
        <w:t>8</w:t>
      </w:r>
      <w:r>
        <w:rPr>
          <w:rFonts w:hint="eastAsia" w:ascii="仿宋_GB2312" w:hAnsi="仿宋_GB2312" w:eastAsia="仿宋_GB2312" w:cs="仿宋_GB2312"/>
          <w:color w:val="231F20"/>
          <w:spacing w:val="-6"/>
          <w:kern w:val="0"/>
          <w:sz w:val="32"/>
          <w:szCs w:val="32"/>
          <w:lang w:eastAsia="zh-CN"/>
        </w:rPr>
        <w:t>、</w:t>
      </w:r>
      <w:r>
        <w:rPr>
          <w:rFonts w:hint="eastAsia" w:ascii="仿宋" w:hAnsi="仿宋" w:eastAsia="仿宋" w:cs="仿宋"/>
          <w:b w:val="0"/>
          <w:bCs w:val="0"/>
          <w:snapToGrid w:val="0"/>
          <w:sz w:val="32"/>
          <w:szCs w:val="32"/>
          <w:u w:val="none" w:color="auto"/>
          <w:lang w:eastAsia="zh-CN"/>
        </w:rPr>
        <w:t>广州市黄埔区渔加鱼火锅店</w:t>
      </w:r>
      <w:r>
        <w:rPr>
          <w:rFonts w:hint="eastAsia" w:ascii="仿宋_GB2312" w:hAnsi="仿宋_GB2312" w:eastAsia="仿宋_GB2312" w:cs="仿宋_GB2312"/>
          <w:color w:val="231F20"/>
          <w:spacing w:val="-6"/>
          <w:kern w:val="0"/>
          <w:sz w:val="32"/>
          <w:szCs w:val="32"/>
          <w:lang w:eastAsia="zh-CN"/>
        </w:rPr>
        <w:t>201</w:t>
      </w:r>
      <w:r>
        <w:rPr>
          <w:rFonts w:hint="eastAsia" w:ascii="仿宋_GB2312" w:hAnsi="仿宋_GB2312" w:eastAsia="仿宋_GB2312" w:cs="仿宋_GB2312"/>
          <w:color w:val="231F20"/>
          <w:spacing w:val="-6"/>
          <w:kern w:val="0"/>
          <w:sz w:val="32"/>
          <w:szCs w:val="32"/>
          <w:lang w:val="en-US" w:eastAsia="zh-CN"/>
        </w:rPr>
        <w:t>9</w:t>
      </w:r>
      <w:r>
        <w:rPr>
          <w:rFonts w:hint="eastAsia" w:ascii="仿宋_GB2312" w:hAnsi="仿宋_GB2312" w:eastAsia="仿宋_GB2312" w:cs="仿宋_GB2312"/>
          <w:color w:val="231F20"/>
          <w:spacing w:val="-6"/>
          <w:kern w:val="0"/>
          <w:sz w:val="32"/>
          <w:szCs w:val="32"/>
          <w:lang w:eastAsia="zh-CN"/>
        </w:rPr>
        <w:t>年</w:t>
      </w:r>
      <w:r>
        <w:rPr>
          <w:rFonts w:hint="eastAsia" w:ascii="仿宋_GB2312" w:hAnsi="仿宋_GB2312" w:eastAsia="仿宋_GB2312" w:cs="仿宋_GB2312"/>
          <w:color w:val="231F20"/>
          <w:spacing w:val="-6"/>
          <w:kern w:val="0"/>
          <w:sz w:val="32"/>
          <w:szCs w:val="32"/>
          <w:lang w:val="en-US" w:eastAsia="zh-CN"/>
        </w:rPr>
        <w:t>9</w:t>
      </w:r>
      <w:r>
        <w:rPr>
          <w:rFonts w:hint="eastAsia" w:ascii="仿宋_GB2312" w:hAnsi="仿宋_GB2312" w:eastAsia="仿宋_GB2312" w:cs="仿宋_GB2312"/>
          <w:color w:val="231F20"/>
          <w:spacing w:val="-6"/>
          <w:kern w:val="0"/>
          <w:sz w:val="32"/>
          <w:szCs w:val="32"/>
          <w:lang w:eastAsia="zh-CN"/>
        </w:rPr>
        <w:t>月</w:t>
      </w:r>
      <w:r>
        <w:rPr>
          <w:rFonts w:hint="eastAsia" w:ascii="仿宋_GB2312" w:hAnsi="仿宋_GB2312" w:eastAsia="仿宋_GB2312" w:cs="仿宋_GB2312"/>
          <w:color w:val="231F20"/>
          <w:spacing w:val="-6"/>
          <w:kern w:val="0"/>
          <w:sz w:val="32"/>
          <w:szCs w:val="32"/>
          <w:lang w:val="en-US" w:eastAsia="zh-CN"/>
        </w:rPr>
        <w:t>17日</w:t>
      </w:r>
      <w:r>
        <w:rPr>
          <w:rFonts w:hint="eastAsia" w:ascii="仿宋_GB2312" w:hAnsi="仿宋_GB2312" w:eastAsia="仿宋_GB2312" w:cs="仿宋_GB2312"/>
          <w:color w:val="231F20"/>
          <w:spacing w:val="-6"/>
          <w:kern w:val="0"/>
          <w:sz w:val="32"/>
          <w:szCs w:val="32"/>
          <w:lang w:eastAsia="zh-CN"/>
        </w:rPr>
        <w:t xml:space="preserve">被抽检批次辣椒干的进货单据； </w:t>
      </w:r>
    </w:p>
    <w:p>
      <w:pPr>
        <w:keepNext w:val="0"/>
        <w:keepLines w:val="0"/>
        <w:pageBreakBefore w:val="0"/>
        <w:widowControl w:val="0"/>
        <w:kinsoku/>
        <w:wordWrap w:val="0"/>
        <w:overflowPunct/>
        <w:topLinePunct w:val="0"/>
        <w:autoSpaceDE/>
        <w:autoSpaceDN/>
        <w:bidi w:val="0"/>
        <w:adjustRightInd w:val="0"/>
        <w:snapToGrid w:val="0"/>
        <w:spacing w:line="600" w:lineRule="exact"/>
        <w:jc w:val="both"/>
        <w:textAlignment w:val="baseline"/>
        <w:outlineLvl w:val="9"/>
        <w:rPr>
          <w:rFonts w:hint="eastAsia" w:ascii="仿宋_GB2312" w:hAnsi="仿宋_GB2312" w:eastAsia="仿宋_GB2312" w:cs="仿宋_GB2312"/>
          <w:color w:val="231F20"/>
          <w:spacing w:val="-6"/>
          <w:kern w:val="0"/>
          <w:sz w:val="32"/>
          <w:szCs w:val="32"/>
          <w:lang w:eastAsia="zh-CN"/>
        </w:rPr>
      </w:pPr>
      <w:r>
        <w:rPr>
          <w:rFonts w:hint="eastAsia" w:ascii="仿宋_GB2312" w:hAnsi="仿宋_GB2312" w:eastAsia="仿宋_GB2312" w:cs="仿宋_GB2312"/>
          <w:color w:val="231F20"/>
          <w:spacing w:val="-6"/>
          <w:kern w:val="0"/>
          <w:sz w:val="32"/>
          <w:szCs w:val="32"/>
          <w:lang w:val="en-US" w:eastAsia="zh-CN"/>
        </w:rPr>
        <w:t>9、供货商提供的</w:t>
      </w:r>
      <w:r>
        <w:rPr>
          <w:rFonts w:hint="eastAsia" w:ascii="仿宋" w:hAnsi="仿宋" w:eastAsia="仿宋" w:cs="仿宋"/>
          <w:b w:val="0"/>
          <w:bCs w:val="0"/>
          <w:snapToGrid w:val="0"/>
          <w:sz w:val="32"/>
          <w:szCs w:val="32"/>
          <w:lang w:eastAsia="zh-CN"/>
        </w:rPr>
        <w:t>产品检测合格报告</w:t>
      </w:r>
      <w:r>
        <w:rPr>
          <w:rFonts w:hint="eastAsia" w:ascii="仿宋" w:hAnsi="仿宋" w:eastAsia="仿宋" w:cs="仿宋"/>
          <w:b w:val="0"/>
          <w:bCs w:val="0"/>
          <w:snapToGrid w:val="0"/>
          <w:sz w:val="32"/>
          <w:szCs w:val="32"/>
          <w:lang w:val="en-US" w:eastAsia="zh-CN"/>
        </w:rPr>
        <w:t>1份。</w:t>
      </w:r>
    </w:p>
    <w:p>
      <w:pPr>
        <w:keepNext w:val="0"/>
        <w:keepLines w:val="0"/>
        <w:pageBreakBefore w:val="0"/>
        <w:widowControl w:val="0"/>
        <w:kinsoku/>
        <w:wordWrap w:val="0"/>
        <w:overflowPunct/>
        <w:topLinePunct w:val="0"/>
        <w:autoSpaceDE/>
        <w:autoSpaceDN/>
        <w:bidi w:val="0"/>
        <w:adjustRightInd w:val="0"/>
        <w:snapToGrid w:val="0"/>
        <w:spacing w:line="600" w:lineRule="exact"/>
        <w:ind w:firstLine="616" w:firstLineChars="200"/>
        <w:jc w:val="both"/>
        <w:textAlignment w:val="baseline"/>
        <w:outlineLvl w:val="9"/>
        <w:rPr>
          <w:rFonts w:hint="eastAsia" w:ascii="仿宋_GB2312" w:hAnsi="仿宋_GB2312" w:eastAsia="仿宋_GB2312" w:cs="仿宋_GB2312"/>
          <w:color w:val="231F20"/>
          <w:spacing w:val="-6"/>
          <w:kern w:val="0"/>
          <w:sz w:val="32"/>
          <w:szCs w:val="32"/>
          <w:lang w:eastAsia="zh-CN"/>
        </w:rPr>
      </w:pPr>
      <w:r>
        <w:rPr>
          <w:rFonts w:hint="eastAsia" w:ascii="仿宋_GB2312" w:hAnsi="仿宋_GB2312" w:eastAsia="仿宋_GB2312" w:cs="仿宋_GB2312"/>
          <w:color w:val="231F20"/>
          <w:spacing w:val="-6"/>
          <w:kern w:val="0"/>
          <w:sz w:val="32"/>
          <w:szCs w:val="32"/>
          <w:lang w:eastAsia="zh-CN"/>
        </w:rPr>
        <w:t>本局向当事人送达了《行政处罚听证告知书》（穗埔市监告〔20</w:t>
      </w:r>
      <w:r>
        <w:rPr>
          <w:rFonts w:hint="eastAsia" w:ascii="仿宋_GB2312" w:hAnsi="仿宋_GB2312" w:eastAsia="仿宋_GB2312" w:cs="仿宋_GB2312"/>
          <w:color w:val="231F20"/>
          <w:spacing w:val="-6"/>
          <w:kern w:val="0"/>
          <w:sz w:val="32"/>
          <w:szCs w:val="32"/>
          <w:lang w:val="en-US" w:eastAsia="zh-CN"/>
        </w:rPr>
        <w:t>19</w:t>
      </w:r>
      <w:r>
        <w:rPr>
          <w:rFonts w:hint="eastAsia" w:ascii="仿宋_GB2312" w:hAnsi="仿宋_GB2312" w:eastAsia="仿宋_GB2312" w:cs="仿宋_GB2312"/>
          <w:color w:val="231F20"/>
          <w:spacing w:val="-6"/>
          <w:kern w:val="0"/>
          <w:sz w:val="32"/>
          <w:szCs w:val="32"/>
          <w:lang w:eastAsia="zh-CN"/>
        </w:rPr>
        <w:t>〕大沙</w:t>
      </w:r>
      <w:r>
        <w:rPr>
          <w:rFonts w:hint="eastAsia" w:ascii="仿宋_GB2312" w:hAnsi="仿宋_GB2312" w:eastAsia="仿宋_GB2312" w:cs="仿宋_GB2312"/>
          <w:color w:val="231F20"/>
          <w:spacing w:val="-6"/>
          <w:kern w:val="0"/>
          <w:sz w:val="32"/>
          <w:szCs w:val="32"/>
          <w:lang w:val="en-US" w:eastAsia="zh-CN"/>
        </w:rPr>
        <w:t>15</w:t>
      </w:r>
      <w:r>
        <w:rPr>
          <w:rFonts w:hint="eastAsia" w:ascii="仿宋_GB2312" w:hAnsi="仿宋_GB2312" w:eastAsia="仿宋_GB2312" w:cs="仿宋_GB2312"/>
          <w:color w:val="231F20"/>
          <w:spacing w:val="-6"/>
          <w:kern w:val="0"/>
          <w:sz w:val="32"/>
          <w:szCs w:val="32"/>
          <w:lang w:eastAsia="zh-CN"/>
        </w:rPr>
        <w:t>号），当事人自收到该份告知书之日起三个工作日内未行使陈述、申辩，我局视其放弃此权利。</w:t>
      </w:r>
    </w:p>
    <w:p>
      <w:pPr>
        <w:autoSpaceDE w:val="0"/>
        <w:autoSpaceDN w:val="0"/>
        <w:spacing w:line="720" w:lineRule="exact"/>
        <w:ind w:firstLine="544"/>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当事人经营不合格辣椒干的行为</w:t>
      </w:r>
      <w:r>
        <w:rPr>
          <w:rFonts w:hint="eastAsia" w:ascii="仿宋" w:hAnsi="仿宋" w:eastAsia="仿宋"/>
          <w:color w:val="231F20"/>
          <w:spacing w:val="-22"/>
          <w:sz w:val="32"/>
          <w:szCs w:val="32"/>
          <w:lang w:eastAsia="zh-CN"/>
        </w:rPr>
        <w:t>违反了《中华人民共和国食品安全法》</w:t>
      </w:r>
      <w:r>
        <w:rPr>
          <w:rFonts w:hint="eastAsia" w:ascii="仿宋" w:hAnsi="仿宋" w:eastAsia="仿宋" w:cs="仿宋"/>
          <w:b w:val="0"/>
          <w:bCs w:val="0"/>
          <w:snapToGrid w:val="0"/>
          <w:kern w:val="0"/>
          <w:sz w:val="32"/>
          <w:szCs w:val="32"/>
          <w:lang w:val="en-US" w:eastAsia="zh-CN" w:bidi="ar-SA"/>
        </w:rPr>
        <w:t>第五十五条第一款“餐饮服务提供者应当制定并实施原料控制要求，不得采购不符合食品安全标准的食品原料。”的规定。应</w:t>
      </w:r>
      <w:r>
        <w:rPr>
          <w:rFonts w:hint="eastAsia" w:ascii="仿宋_GB2312" w:hAnsi="仿宋_GB2312" w:eastAsia="仿宋_GB2312" w:cs="仿宋_GB2312"/>
          <w:snapToGrid w:val="0"/>
          <w:color w:val="000000"/>
          <w:sz w:val="32"/>
          <w:szCs w:val="32"/>
          <w:lang w:eastAsia="zh-CN"/>
        </w:rPr>
        <w:t>依据《中华人民共和国食品安全法》</w:t>
      </w:r>
      <w:r>
        <w:rPr>
          <w:rFonts w:hint="eastAsia" w:ascii="仿宋_GB2312" w:hAnsi="仿宋_GB2312" w:eastAsia="仿宋_GB2312" w:cs="仿宋_GB2312"/>
          <w:snapToGrid w:val="0"/>
          <w:color w:val="000000"/>
          <w:sz w:val="32"/>
          <w:szCs w:val="32"/>
          <w:lang w:val="en-US" w:eastAsia="zh-CN"/>
        </w:rPr>
        <w:t>第一百二十五条第一款第（四）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的罚款；</w:t>
      </w:r>
      <w:r>
        <w:rPr>
          <w:rFonts w:hint="eastAsia" w:ascii="仿宋_GB2312" w:hAnsi="仿宋_GB2312" w:eastAsia="仿宋_GB2312" w:cs="仿宋_GB2312"/>
          <w:snapToGrid w:val="0"/>
          <w:color w:val="000000"/>
          <w:sz w:val="32"/>
          <w:szCs w:val="32"/>
          <w:lang w:eastAsia="zh-CN"/>
        </w:rPr>
        <w:t>......（四）食品生产经营者采购或者使用不符合食品安全标准的食品原料、食品添加剂、食品相关产品"的规定进行处罚。</w:t>
      </w:r>
    </w:p>
    <w:p>
      <w:pPr>
        <w:autoSpaceDE w:val="0"/>
        <w:autoSpaceDN w:val="0"/>
        <w:spacing w:line="720" w:lineRule="exact"/>
        <w:ind w:firstLine="544"/>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eastAsia="zh-CN"/>
        </w:rPr>
        <w:t>鉴于当事人</w:t>
      </w:r>
      <w:r>
        <w:rPr>
          <w:rFonts w:hint="eastAsia" w:ascii="仿宋" w:hAnsi="仿宋" w:eastAsia="仿宋" w:cs="Times New Roman"/>
          <w:color w:val="231F20"/>
          <w:spacing w:val="-22"/>
          <w:sz w:val="32"/>
          <w:szCs w:val="32"/>
          <w:lang w:eastAsia="zh-CN"/>
        </w:rPr>
        <w:t>在经营不符合食品安全标准的辣椒干过程中，</w:t>
      </w:r>
      <w:r>
        <w:rPr>
          <w:rFonts w:hint="eastAsia" w:ascii="仿宋_GB2312" w:hAnsi="仿宋_GB2312" w:eastAsia="仿宋_GB2312" w:cs="仿宋_GB2312"/>
          <w:snapToGrid w:val="0"/>
          <w:color w:val="000000"/>
          <w:sz w:val="32"/>
          <w:szCs w:val="32"/>
          <w:lang w:val="en-US" w:eastAsia="zh-CN"/>
        </w:rPr>
        <w:t>一是认真履行了进货查验等义务，查验过供货者的《营业执照》、进货票据，并提供了相应复印件，能如实说明进货来源；二是由于不合格项目为二氧化硫残留，进货时凭肉眼观测无法得出是否符合食品安全标准的结论。依据《中华人民共和国行政处罚法》第二十七条第一款第（四）项“当事人有下列情形之一的，应当依法从轻或者减轻行政处罚:（四）其他依法从轻或者减轻行政处罚的”的规定，</w:t>
      </w:r>
    </w:p>
    <w:p>
      <w:pPr>
        <w:autoSpaceDE w:val="0"/>
        <w:autoSpaceDN w:val="0"/>
        <w:spacing w:line="720" w:lineRule="exact"/>
        <w:ind w:firstLine="544"/>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 xml:space="preserve"> 我局决定对当事人给予以下行政处罚:</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一、没收违法所得</w:t>
      </w:r>
      <w:r>
        <w:rPr>
          <w:rFonts w:hint="eastAsia" w:ascii="仿宋" w:hAnsi="仿宋" w:eastAsia="仿宋" w:cs="宋体"/>
          <w:color w:val="231F20"/>
          <w:spacing w:val="-12"/>
          <w:sz w:val="32"/>
          <w:szCs w:val="32"/>
          <w:lang w:val="en-US" w:eastAsia="zh-CN"/>
        </w:rPr>
        <w:t>1080</w:t>
      </w:r>
      <w:r>
        <w:rPr>
          <w:rFonts w:hint="eastAsia" w:ascii="仿宋" w:hAnsi="仿宋" w:eastAsia="仿宋" w:cs="宋体"/>
          <w:color w:val="231F20"/>
          <w:spacing w:val="-12"/>
          <w:sz w:val="32"/>
          <w:szCs w:val="32"/>
          <w:lang w:eastAsia="zh-CN"/>
        </w:rPr>
        <w:t>元；</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二、罚款</w:t>
      </w:r>
      <w:r>
        <w:rPr>
          <w:rFonts w:hint="eastAsia" w:ascii="仿宋" w:hAnsi="仿宋" w:eastAsia="仿宋" w:cs="宋体"/>
          <w:color w:val="231F20"/>
          <w:spacing w:val="-12"/>
          <w:sz w:val="32"/>
          <w:szCs w:val="32"/>
          <w:lang w:val="en-US" w:eastAsia="zh-CN"/>
        </w:rPr>
        <w:t>5</w:t>
      </w:r>
      <w:r>
        <w:rPr>
          <w:rFonts w:hint="eastAsia" w:ascii="仿宋" w:hAnsi="仿宋" w:eastAsia="仿宋" w:cs="宋体"/>
          <w:color w:val="231F20"/>
          <w:spacing w:val="-12"/>
          <w:sz w:val="32"/>
          <w:szCs w:val="32"/>
          <w:lang w:eastAsia="zh-CN"/>
        </w:rPr>
        <w:t>000元，共计罚没款</w:t>
      </w:r>
      <w:r>
        <w:rPr>
          <w:rFonts w:hint="eastAsia" w:ascii="仿宋" w:hAnsi="仿宋" w:eastAsia="仿宋" w:cs="宋体"/>
          <w:color w:val="231F20"/>
          <w:spacing w:val="-12"/>
          <w:sz w:val="32"/>
          <w:szCs w:val="32"/>
          <w:lang w:val="en-US" w:eastAsia="zh-CN"/>
        </w:rPr>
        <w:t>6080</w:t>
      </w:r>
      <w:r>
        <w:rPr>
          <w:rFonts w:hint="eastAsia" w:ascii="仿宋" w:hAnsi="仿宋" w:eastAsia="仿宋" w:cs="宋体"/>
          <w:color w:val="231F20"/>
          <w:spacing w:val="-12"/>
          <w:sz w:val="32"/>
          <w:szCs w:val="32"/>
          <w:lang w:eastAsia="zh-CN"/>
        </w:rPr>
        <w:t>元（人民币陆仟零捌拾圆整）。</w:t>
      </w:r>
    </w:p>
    <w:p>
      <w:pPr>
        <w:autoSpaceDE w:val="0"/>
        <w:autoSpaceDN w:val="0"/>
        <w:spacing w:line="720" w:lineRule="exact"/>
        <w:ind w:firstLine="544"/>
        <w:rPr>
          <w:rFonts w:hint="eastAsia" w:ascii="仿宋_GB2312" w:hAnsi="仿宋_GB2312" w:eastAsia="仿宋_GB2312" w:cs="仿宋_GB2312"/>
          <w:snapToGrid w:val="0"/>
          <w:color w:val="000000"/>
          <w:sz w:val="32"/>
          <w:szCs w:val="32"/>
          <w:lang w:val="en-US" w:eastAsia="zh-CN"/>
        </w:rPr>
      </w:pPr>
      <w:r>
        <w:rPr>
          <w:rFonts w:hint="eastAsia" w:ascii="仿宋" w:hAnsi="仿宋" w:eastAsia="仿宋" w:cs="宋体"/>
          <w:color w:val="231F20"/>
          <w:spacing w:val="-12"/>
          <w:sz w:val="32"/>
          <w:szCs w:val="32"/>
          <w:lang w:eastAsia="zh-CN"/>
        </w:rPr>
        <w:t xml:space="preserve"> </w:t>
      </w:r>
      <w:r>
        <w:rPr>
          <w:rFonts w:hint="eastAsia" w:ascii="仿宋_GB2312" w:hAnsi="仿宋_GB2312" w:eastAsia="仿宋_GB2312" w:cs="仿宋_GB2312"/>
          <w:snapToGrid w:val="0"/>
          <w:color w:val="000000"/>
          <w:sz w:val="32"/>
          <w:szCs w:val="32"/>
          <w:lang w:val="en-US" w:eastAsia="zh-CN"/>
        </w:rPr>
        <w:t>请在接到本处罚决定书之日起15日内将罚没款缴到《广州市非税收入缴款通知书》所列银行。逾期不缴纳罚没款的，根据《中华人民共和国行政处罚法》第五十一条第一项的规定，每日按罚款数额的3%加处罚款，并将依法申请人民法院强制执行。</w:t>
      </w:r>
    </w:p>
    <w:p>
      <w:pPr>
        <w:autoSpaceDE w:val="0"/>
        <w:autoSpaceDN w:val="0"/>
        <w:spacing w:line="720" w:lineRule="exact"/>
        <w:ind w:firstLine="544"/>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 xml:space="preserve"> 如不服本处罚决定，可在接到本处罚决定书之日起60日内向广州市市场监督管理局或者广州市黄埔区人民政府申请行政复议，广州市市场监督管理局的复议地址：广州市天河区天河路112号，电话85590146，；广州市黄埔区人民政府的复议地址：广州市黄埔区水西路12号A栋2楼公共法律服务中心，电话82378878。也可以于6个月内依法向广州铁路运输法院提起行政诉讼。</w:t>
      </w:r>
    </w:p>
    <w:p>
      <w:pPr>
        <w:autoSpaceDE w:val="0"/>
        <w:autoSpaceDN w:val="0"/>
        <w:spacing w:line="720" w:lineRule="exact"/>
        <w:ind w:firstLine="544"/>
        <w:rPr>
          <w:rFonts w:hint="eastAsia" w:ascii="仿宋_GB2312" w:hAnsi="仿宋_GB2312" w:eastAsia="仿宋_GB2312" w:cs="仿宋_GB2312"/>
          <w:snapToGrid w:val="0"/>
          <w:color w:val="000000"/>
          <w:sz w:val="32"/>
          <w:szCs w:val="32"/>
          <w:lang w:val="en-US" w:eastAsia="zh-CN"/>
        </w:rPr>
      </w:pPr>
    </w:p>
    <w:p>
      <w:pPr>
        <w:autoSpaceDE w:val="0"/>
        <w:autoSpaceDN w:val="0"/>
        <w:spacing w:line="720" w:lineRule="exact"/>
        <w:ind w:firstLine="4144" w:firstLineChars="1400"/>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 xml:space="preserve">  广州市黄埔区市场监督管理局</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 xml:space="preserve">                                     （印章）</w:t>
      </w:r>
    </w:p>
    <w:p>
      <w:pPr>
        <w:pStyle w:val="2"/>
        <w:tabs>
          <w:tab w:val="left" w:pos="5083"/>
          <w:tab w:val="left" w:pos="6043"/>
        </w:tabs>
        <w:adjustRightInd w:val="0"/>
        <w:snapToGrid w:val="0"/>
        <w:spacing w:before="173" w:line="640" w:lineRule="exact"/>
        <w:ind w:left="4123"/>
        <w:jc w:val="both"/>
        <w:rPr>
          <w:rFonts w:ascii="仿宋" w:hAnsi="仿宋" w:eastAsia="仿宋"/>
          <w:lang w:eastAsia="zh-CN"/>
        </w:rPr>
      </w:pPr>
      <w:r>
        <w:rPr>
          <w:rFonts w:hint="eastAsia" w:ascii="仿宋" w:hAnsi="仿宋" w:eastAsia="仿宋"/>
          <w:color w:val="231F20"/>
          <w:lang w:val="en-US" w:eastAsia="zh-CN"/>
        </w:rPr>
        <w:t>2020</w:t>
      </w:r>
      <w:r>
        <w:rPr>
          <w:rFonts w:hint="eastAsia" w:ascii="仿宋" w:hAnsi="仿宋" w:eastAsia="仿宋"/>
          <w:color w:val="231F20"/>
          <w:lang w:eastAsia="zh-CN"/>
        </w:rPr>
        <w:t>年</w:t>
      </w:r>
      <w:r>
        <w:rPr>
          <w:rFonts w:hint="eastAsia" w:ascii="仿宋" w:hAnsi="仿宋" w:eastAsia="仿宋"/>
          <w:color w:val="231F20"/>
          <w:lang w:val="en-US" w:eastAsia="zh-CN"/>
        </w:rPr>
        <w:t>2</w:t>
      </w:r>
      <w:r>
        <w:rPr>
          <w:rFonts w:hint="eastAsia" w:ascii="仿宋" w:hAnsi="仿宋" w:eastAsia="仿宋"/>
          <w:color w:val="231F20"/>
          <w:lang w:eastAsia="zh-CN"/>
        </w:rPr>
        <w:t>月</w:t>
      </w:r>
      <w:r>
        <w:rPr>
          <w:rFonts w:hint="eastAsia" w:ascii="仿宋" w:hAnsi="仿宋" w:eastAsia="仿宋"/>
          <w:color w:val="231F20"/>
          <w:lang w:val="en-US" w:eastAsia="zh-CN"/>
        </w:rPr>
        <w:t>8</w:t>
      </w:r>
      <w:r>
        <w:rPr>
          <w:rFonts w:hint="eastAsia" w:ascii="仿宋" w:hAnsi="仿宋" w:eastAsia="仿宋"/>
          <w:color w:val="231F20"/>
          <w:lang w:eastAsia="zh-CN"/>
        </w:rPr>
        <w:t>日</w:t>
      </w:r>
    </w:p>
    <w:p>
      <w:pPr>
        <w:pStyle w:val="2"/>
        <w:adjustRightInd w:val="0"/>
        <w:snapToGrid w:val="0"/>
        <w:spacing w:before="239" w:line="640" w:lineRule="exact"/>
        <w:ind w:left="103"/>
        <w:rPr>
          <w:rFonts w:ascii="仿宋" w:hAnsi="仿宋" w:eastAsia="仿宋" w:cs="宋体"/>
          <w:color w:val="231F20"/>
          <w:spacing w:val="-5"/>
          <w:lang w:eastAsia="zh-CN"/>
        </w:rPr>
      </w:pPr>
    </w:p>
    <w:p>
      <w:pPr>
        <w:pStyle w:val="2"/>
        <w:adjustRightInd w:val="0"/>
        <w:snapToGrid w:val="0"/>
        <w:spacing w:before="239" w:line="640" w:lineRule="exact"/>
        <w:ind w:left="0"/>
        <w:rPr>
          <w:rFonts w:ascii="仿宋" w:hAnsi="仿宋" w:eastAsia="仿宋" w:cs="宋体"/>
          <w:lang w:eastAsia="zh-CN"/>
        </w:rPr>
      </w:pPr>
      <w:r>
        <w:rPr>
          <w:rFonts w:hint="eastAsia" w:ascii="仿宋" w:hAnsi="仿宋" w:eastAsia="仿宋" w:cs="宋体"/>
          <w:color w:val="231F20"/>
          <w:spacing w:val="-5"/>
          <w:lang w:eastAsia="zh-CN"/>
        </w:rPr>
        <w:t>（市场监督管理部门将依法向社会公示本行政处罚决定信息）</w:t>
      </w:r>
    </w:p>
    <w:p>
      <w:pPr>
        <w:rPr>
          <w:lang w:eastAsia="zh-CN"/>
        </w:rPr>
      </w:pPr>
    </w:p>
    <w:sectPr>
      <w:footerReference r:id="rId4" w:type="default"/>
      <w:head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8240" behindDoc="1" locked="0" layoutInCell="1" allowOverlap="1">
              <wp:simplePos x="0" y="0"/>
              <wp:positionH relativeFrom="page">
                <wp:posOffset>2541905</wp:posOffset>
              </wp:positionH>
              <wp:positionV relativeFrom="page">
                <wp:posOffset>1439545</wp:posOffset>
              </wp:positionV>
              <wp:extent cx="2692400" cy="30861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692400" cy="308610"/>
                      </a:xfrm>
                      <a:prstGeom prst="rect">
                        <a:avLst/>
                      </a:prstGeom>
                      <a:noFill/>
                      <a:ln w="9525">
                        <a:noFill/>
                      </a:ln>
                    </wps:spPr>
                    <wps:txbx>
                      <w:txbxContent>
                        <w:p>
                          <w:pPr>
                            <w:tabs>
                              <w:tab w:val="left" w:pos="1279"/>
                            </w:tabs>
                            <w:spacing w:line="417" w:lineRule="exact"/>
                            <w:ind w:left="20"/>
                            <w:rPr>
                              <w:rFonts w:ascii="宋体" w:cs="宋体"/>
                              <w:sz w:val="42"/>
                              <w:szCs w:val="42"/>
                            </w:rPr>
                          </w:pPr>
                          <w:r>
                            <w:rPr>
                              <w:rFonts w:ascii="Times New Roman" w:hAnsi="Times New Roman"/>
                              <w:color w:val="231F20"/>
                              <w:sz w:val="42"/>
                              <w:szCs w:val="42"/>
                              <w:u w:val="single" w:color="231F20"/>
                            </w:rPr>
                            <w:tab/>
                          </w:r>
                          <w:r>
                            <w:rPr>
                              <w:rFonts w:hint="eastAsia" w:ascii="宋体" w:hAnsi="宋体" w:cs="宋体"/>
                              <w:color w:val="231F20"/>
                              <w:sz w:val="42"/>
                              <w:szCs w:val="42"/>
                            </w:rPr>
                            <w:t>市场监督管理局</w:t>
                          </w:r>
                        </w:p>
                      </w:txbxContent>
                    </wps:txbx>
                    <wps:bodyPr lIns="0" tIns="0" rIns="0" bIns="0" upright="1"/>
                  </wps:wsp>
                </a:graphicData>
              </a:graphic>
            </wp:anchor>
          </w:drawing>
        </mc:Choice>
        <mc:Fallback>
          <w:pict>
            <v:shape id="文本框 1025" o:spid="_x0000_s1026" o:spt="202" type="#_x0000_t202" style="position:absolute;left:0pt;margin-left:200.15pt;margin-top:113.35pt;height:24.3pt;width:212pt;mso-position-horizontal-relative:page;mso-position-vertical-relative:page;z-index:-251658240;mso-width-relative:page;mso-height-relative:page;" filled="f" stroked="f" coordsize="21600,21600" o:gfxdata="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6JsufaAAAA&#10;CwEAAA8AAAAAAAAAAQAgAAAAIgAAAGRycy9kb3ducmV2LnhtbFBLAQIUABQAAAAIAIdO4kD/jfki&#10;qQEAADADAAAOAAAAAAAAAAEAIAAAACkBAABkcnMvZTJvRG9jLnhtbFBLBQYAAAAABgAGAFkBAABE&#10;BQAAAAA=&#10;">
              <v:fill on="f" focussize="0,0"/>
              <v:stroke on="f"/>
              <v:imagedata o:title=""/>
              <o:lock v:ext="edit" aspectratio="f"/>
              <v:textbox inset="0mm,0mm,0mm,0mm">
                <w:txbxContent>
                  <w:p>
                    <w:pPr>
                      <w:tabs>
                        <w:tab w:val="left" w:pos="1279"/>
                      </w:tabs>
                      <w:spacing w:line="417" w:lineRule="exact"/>
                      <w:ind w:left="20"/>
                      <w:rPr>
                        <w:rFonts w:ascii="宋体" w:cs="宋体"/>
                        <w:sz w:val="42"/>
                        <w:szCs w:val="42"/>
                      </w:rPr>
                    </w:pPr>
                    <w:r>
                      <w:rPr>
                        <w:rFonts w:ascii="Times New Roman" w:hAnsi="Times New Roman"/>
                        <w:color w:val="231F20"/>
                        <w:sz w:val="42"/>
                        <w:szCs w:val="42"/>
                        <w:u w:val="single" w:color="231F20"/>
                      </w:rPr>
                      <w:tab/>
                    </w:r>
                    <w:r>
                      <w:rPr>
                        <w:rFonts w:hint="eastAsia" w:ascii="宋体" w:hAnsi="宋体" w:cs="宋体"/>
                        <w:color w:val="231F20"/>
                        <w:sz w:val="42"/>
                        <w:szCs w:val="42"/>
                      </w:rPr>
                      <w:t>市场监督管理局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01"/>
    <w:rsid w:val="00052DAA"/>
    <w:rsid w:val="00076C2F"/>
    <w:rsid w:val="000A29B2"/>
    <w:rsid w:val="00165917"/>
    <w:rsid w:val="00176657"/>
    <w:rsid w:val="001858EC"/>
    <w:rsid w:val="001926DC"/>
    <w:rsid w:val="0021472B"/>
    <w:rsid w:val="0025353F"/>
    <w:rsid w:val="002832FF"/>
    <w:rsid w:val="002F568D"/>
    <w:rsid w:val="003077B6"/>
    <w:rsid w:val="00375FC0"/>
    <w:rsid w:val="003B2D4E"/>
    <w:rsid w:val="003D6BB1"/>
    <w:rsid w:val="0043396B"/>
    <w:rsid w:val="00434DF9"/>
    <w:rsid w:val="00451F37"/>
    <w:rsid w:val="00474799"/>
    <w:rsid w:val="004964F7"/>
    <w:rsid w:val="004D466D"/>
    <w:rsid w:val="005258E7"/>
    <w:rsid w:val="00566E44"/>
    <w:rsid w:val="00575A2D"/>
    <w:rsid w:val="00587F8B"/>
    <w:rsid w:val="00617540"/>
    <w:rsid w:val="00630CA7"/>
    <w:rsid w:val="00634836"/>
    <w:rsid w:val="0064324D"/>
    <w:rsid w:val="006B6F25"/>
    <w:rsid w:val="006D7116"/>
    <w:rsid w:val="006F43A4"/>
    <w:rsid w:val="00722143"/>
    <w:rsid w:val="007A3732"/>
    <w:rsid w:val="007B77E6"/>
    <w:rsid w:val="007C0633"/>
    <w:rsid w:val="007D4DFC"/>
    <w:rsid w:val="007D6733"/>
    <w:rsid w:val="00801510"/>
    <w:rsid w:val="00837959"/>
    <w:rsid w:val="008911F2"/>
    <w:rsid w:val="00935701"/>
    <w:rsid w:val="00943E96"/>
    <w:rsid w:val="00944C2C"/>
    <w:rsid w:val="0095161F"/>
    <w:rsid w:val="009633C1"/>
    <w:rsid w:val="009709CB"/>
    <w:rsid w:val="0097622B"/>
    <w:rsid w:val="00981BB0"/>
    <w:rsid w:val="009E15E0"/>
    <w:rsid w:val="00A03FAD"/>
    <w:rsid w:val="00A32017"/>
    <w:rsid w:val="00A3283B"/>
    <w:rsid w:val="00A5297E"/>
    <w:rsid w:val="00AA2F46"/>
    <w:rsid w:val="00AE10C0"/>
    <w:rsid w:val="00AF3271"/>
    <w:rsid w:val="00B21D09"/>
    <w:rsid w:val="00B848CD"/>
    <w:rsid w:val="00BA5D87"/>
    <w:rsid w:val="00BC3439"/>
    <w:rsid w:val="00C8404C"/>
    <w:rsid w:val="00C91CA3"/>
    <w:rsid w:val="00CA5F87"/>
    <w:rsid w:val="00CA660E"/>
    <w:rsid w:val="00CC5DCD"/>
    <w:rsid w:val="00D202AC"/>
    <w:rsid w:val="00D31294"/>
    <w:rsid w:val="00DA1A64"/>
    <w:rsid w:val="00DE54E4"/>
    <w:rsid w:val="00DE5AF2"/>
    <w:rsid w:val="00E11827"/>
    <w:rsid w:val="00E4083A"/>
    <w:rsid w:val="00E465AE"/>
    <w:rsid w:val="00E60236"/>
    <w:rsid w:val="00E81E5E"/>
    <w:rsid w:val="00EB0B6B"/>
    <w:rsid w:val="00ED11DE"/>
    <w:rsid w:val="00EE71CD"/>
    <w:rsid w:val="00F16073"/>
    <w:rsid w:val="00F16BAF"/>
    <w:rsid w:val="00F26F9F"/>
    <w:rsid w:val="00F3329F"/>
    <w:rsid w:val="00F4700A"/>
    <w:rsid w:val="00F80707"/>
    <w:rsid w:val="00F95AC1"/>
    <w:rsid w:val="00FA1FF4"/>
    <w:rsid w:val="0D237BAB"/>
    <w:rsid w:val="0D795F7E"/>
    <w:rsid w:val="113E4387"/>
    <w:rsid w:val="1D11352F"/>
    <w:rsid w:val="1E660EB9"/>
    <w:rsid w:val="1ED10006"/>
    <w:rsid w:val="2445679D"/>
    <w:rsid w:val="315C60E8"/>
    <w:rsid w:val="3DD909F3"/>
    <w:rsid w:val="40E17EB7"/>
    <w:rsid w:val="45834868"/>
    <w:rsid w:val="4AD369B3"/>
    <w:rsid w:val="523A6438"/>
    <w:rsid w:val="61FB4BA3"/>
    <w:rsid w:val="691A5D04"/>
    <w:rsid w:val="73D759AD"/>
    <w:rsid w:val="7CBF00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ind w:left="220"/>
    </w:pPr>
    <w:rPr>
      <w:rFonts w:ascii="宋体" w:hAnsi="宋体"/>
      <w:sz w:val="32"/>
      <w:szCs w:val="32"/>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5"/>
    <w:link w:val="2"/>
    <w:qFormat/>
    <w:uiPriority w:val="99"/>
    <w:rPr>
      <w:rFonts w:ascii="宋体" w:hAnsi="宋体" w:eastAsia="宋体" w:cs="Times New Roman"/>
      <w:kern w:val="0"/>
      <w:sz w:val="32"/>
      <w:szCs w:val="32"/>
      <w:lang w:eastAsia="en-US"/>
    </w:rPr>
  </w:style>
  <w:style w:type="paragraph" w:customStyle="1" w:styleId="8">
    <w:name w:val="p17"/>
    <w:basedOn w:val="1"/>
    <w:qFormat/>
    <w:uiPriority w:val="0"/>
    <w:pPr>
      <w:widowControl/>
      <w:spacing w:before="100" w:after="100"/>
    </w:pPr>
    <w:rPr>
      <w:rFonts w:ascii="宋体" w:hAnsi="宋体" w:cs="宋体"/>
      <w:sz w:val="24"/>
      <w:szCs w:val="24"/>
      <w:lang w:eastAsia="zh-CN"/>
    </w:rPr>
  </w:style>
  <w:style w:type="character" w:customStyle="1" w:styleId="9">
    <w:name w:val="页眉 Char"/>
    <w:basedOn w:val="5"/>
    <w:link w:val="4"/>
    <w:semiHidden/>
    <w:qFormat/>
    <w:uiPriority w:val="99"/>
    <w:rPr>
      <w:rFonts w:ascii="Calibri" w:hAnsi="Calibri" w:eastAsia="宋体" w:cs="Times New Roman"/>
      <w:kern w:val="0"/>
      <w:sz w:val="18"/>
      <w:szCs w:val="18"/>
      <w:lang w:eastAsia="en-US"/>
    </w:rPr>
  </w:style>
  <w:style w:type="character" w:customStyle="1" w:styleId="10">
    <w:name w:val="页脚 Char"/>
    <w:basedOn w:val="5"/>
    <w:link w:val="3"/>
    <w:qFormat/>
    <w:uiPriority w:val="99"/>
    <w:rPr>
      <w:rFonts w:ascii="Calibri" w:hAnsi="Calibri" w:eastAsia="宋体" w:cs="Times New Roman"/>
      <w:kern w:val="0"/>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9306E-4851-4DAC-85BB-EB5CE96A7EF1}">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5</Pages>
  <Words>353</Words>
  <Characters>2018</Characters>
  <Lines>16</Lines>
  <Paragraphs>4</Paragraphs>
  <TotalTime>13</TotalTime>
  <ScaleCrop>false</ScaleCrop>
  <LinksUpToDate>false</LinksUpToDate>
  <CharactersWithSpaces>2367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2019-12-03T02:33:00Z</dcterms:created>
  <dc:creator>派驻人员</dc:creator>
  <cp:lastModifiedBy>Administrator</cp:lastModifiedBy>
  <cp:lastPrinted>2020-01-31T02:45:00Z</cp:lastPrinted>
  <dcterms:modified xsi:type="dcterms:W3CDTF">2020-02-19T01:26:05Z</dcterms:modified>
  <dc:title>广州市黄埔区市场监督管理局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