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Theme="minorEastAsia" w:hAnsiTheme="minorEastAsia" w:eastAsiaTheme="minorEastAsia"/>
          <w:b/>
          <w:color w:val="auto"/>
          <w:sz w:val="52"/>
          <w:szCs w:val="52"/>
        </w:rPr>
      </w:pPr>
    </w:p>
    <w:p>
      <w:pPr>
        <w:ind w:firstLine="0" w:firstLineChars="0"/>
        <w:jc w:val="center"/>
        <w:rPr>
          <w:rFonts w:eastAsiaTheme="minorEastAsia"/>
          <w:b/>
          <w:color w:val="auto"/>
          <w:sz w:val="48"/>
          <w:szCs w:val="48"/>
        </w:rPr>
      </w:pPr>
    </w:p>
    <w:p>
      <w:pPr>
        <w:ind w:firstLine="0" w:firstLineChars="0"/>
        <w:jc w:val="center"/>
        <w:rPr>
          <w:b/>
          <w:bCs/>
          <w:color w:val="auto"/>
          <w:sz w:val="48"/>
          <w:szCs w:val="48"/>
        </w:rPr>
      </w:pPr>
      <w:r>
        <w:rPr>
          <w:b/>
          <w:bCs/>
          <w:color w:val="auto"/>
          <w:sz w:val="48"/>
          <w:szCs w:val="48"/>
        </w:rPr>
        <w:t>中新广州知识城AG0622规划管理单元控制性详细规划调整环境影响报告书</w:t>
      </w:r>
    </w:p>
    <w:p>
      <w:pPr>
        <w:ind w:firstLine="0" w:firstLineChars="0"/>
        <w:jc w:val="center"/>
        <w:rPr>
          <w:rFonts w:asciiTheme="minorEastAsia" w:hAnsiTheme="minorEastAsia" w:eastAsiaTheme="minorEastAsia"/>
          <w:color w:val="auto"/>
          <w:sz w:val="44"/>
          <w:szCs w:val="44"/>
        </w:rPr>
      </w:pPr>
      <w:r>
        <w:rPr>
          <w:rFonts w:hint="eastAsia" w:asciiTheme="minorEastAsia" w:hAnsiTheme="minorEastAsia" w:eastAsiaTheme="minorEastAsia"/>
          <w:color w:val="auto"/>
          <w:sz w:val="44"/>
          <w:szCs w:val="44"/>
        </w:rPr>
        <w:t>（征求意见稿简本）</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0" w:firstLineChars="0"/>
        <w:rPr>
          <w:color w:val="auto"/>
        </w:rPr>
      </w:pPr>
    </w:p>
    <w:p>
      <w:pPr>
        <w:ind w:firstLine="0" w:firstLineChars="0"/>
        <w:rPr>
          <w:color w:val="auto"/>
        </w:rPr>
      </w:pPr>
    </w:p>
    <w:p>
      <w:pPr>
        <w:ind w:firstLine="480"/>
        <w:rPr>
          <w:color w:val="auto"/>
        </w:rPr>
      </w:pPr>
    </w:p>
    <w:p>
      <w:pPr>
        <w:ind w:firstLine="1280" w:firstLineChars="400"/>
        <w:rPr>
          <w:rFonts w:eastAsia="黑体"/>
          <w:color w:val="auto"/>
          <w:sz w:val="32"/>
          <w:szCs w:val="32"/>
        </w:rPr>
      </w:pPr>
    </w:p>
    <w:p>
      <w:pPr>
        <w:spacing w:after="120"/>
        <w:ind w:firstLine="643"/>
        <w:jc w:val="center"/>
        <w:rPr>
          <w:b/>
          <w:bCs/>
          <w:color w:val="auto"/>
          <w:sz w:val="32"/>
          <w:szCs w:val="32"/>
        </w:rPr>
      </w:pPr>
      <w:r>
        <w:rPr>
          <w:b/>
          <w:bCs/>
          <w:color w:val="auto"/>
          <w:sz w:val="32"/>
          <w:szCs w:val="32"/>
        </w:rPr>
        <w:t>规划组织单位：中新广州知识城开发建设办公室</w:t>
      </w:r>
    </w:p>
    <w:p>
      <w:pPr>
        <w:spacing w:after="120"/>
        <w:ind w:firstLine="643"/>
        <w:jc w:val="center"/>
        <w:rPr>
          <w:b/>
          <w:bCs/>
          <w:color w:val="auto"/>
          <w:sz w:val="32"/>
          <w:szCs w:val="32"/>
        </w:rPr>
      </w:pPr>
      <w:r>
        <w:rPr>
          <w:b/>
          <w:bCs/>
          <w:color w:val="auto"/>
          <w:sz w:val="32"/>
          <w:szCs w:val="32"/>
        </w:rPr>
        <w:t>编制单位：南京大学环境规划设计研究院</w:t>
      </w:r>
      <w:r>
        <w:rPr>
          <w:rFonts w:hint="eastAsia"/>
          <w:b/>
          <w:bCs/>
          <w:color w:val="auto"/>
          <w:sz w:val="32"/>
          <w:szCs w:val="32"/>
          <w:lang w:val="en-US" w:eastAsia="zh-CN"/>
        </w:rPr>
        <w:t>集</w:t>
      </w:r>
      <w:bookmarkStart w:id="34" w:name="_GoBack"/>
      <w:bookmarkEnd w:id="34"/>
      <w:r>
        <w:rPr>
          <w:rFonts w:hint="eastAsia"/>
          <w:b/>
          <w:bCs/>
          <w:color w:val="auto"/>
          <w:sz w:val="32"/>
          <w:szCs w:val="32"/>
          <w:lang w:val="en-US" w:eastAsia="zh-CN"/>
        </w:rPr>
        <w:t>团</w:t>
      </w:r>
      <w:r>
        <w:rPr>
          <w:b/>
          <w:bCs/>
          <w:color w:val="auto"/>
          <w:sz w:val="32"/>
          <w:szCs w:val="32"/>
        </w:rPr>
        <w:t>股份公司</w:t>
      </w:r>
    </w:p>
    <w:p>
      <w:pPr>
        <w:spacing w:after="120"/>
        <w:ind w:firstLine="643"/>
        <w:jc w:val="center"/>
        <w:rPr>
          <w:b/>
          <w:bCs/>
          <w:color w:val="auto"/>
          <w:sz w:val="30"/>
          <w:szCs w:val="30"/>
        </w:rPr>
      </w:pPr>
      <w:r>
        <w:rPr>
          <w:b/>
          <w:bCs/>
          <w:color w:val="auto"/>
          <w:sz w:val="32"/>
          <w:szCs w:val="32"/>
        </w:rPr>
        <w:t>二〇二〇年十月</w:t>
      </w:r>
    </w:p>
    <w:p>
      <w:pPr>
        <w:spacing w:line="480" w:lineRule="auto"/>
        <w:ind w:firstLine="600"/>
        <w:rPr>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pgNumType w:fmt="upperRoman" w:start="1"/>
          <w:cols w:space="720" w:num="1"/>
          <w:docGrid w:linePitch="312" w:charSpace="0"/>
        </w:sectPr>
      </w:pPr>
    </w:p>
    <w:p>
      <w:pPr>
        <w:ind w:firstLine="883"/>
        <w:jc w:val="center"/>
        <w:rPr>
          <w:b/>
          <w:color w:val="auto"/>
          <w:sz w:val="44"/>
          <w:szCs w:val="44"/>
        </w:rPr>
      </w:pPr>
      <w:r>
        <w:rPr>
          <w:rFonts w:hint="eastAsia"/>
          <w:b/>
          <w:color w:val="auto"/>
          <w:sz w:val="44"/>
          <w:szCs w:val="44"/>
        </w:rPr>
        <w:t>目录</w:t>
      </w:r>
    </w:p>
    <w:p>
      <w:pPr>
        <w:pStyle w:val="10"/>
        <w:tabs>
          <w:tab w:val="right" w:leader="dot" w:pos="8306"/>
        </w:tabs>
        <w:rPr>
          <w:color w:val="auto"/>
        </w:rPr>
      </w:pPr>
      <w:r>
        <w:rPr>
          <w:color w:val="auto"/>
        </w:rPr>
        <w:fldChar w:fldCharType="begin"/>
      </w:r>
      <w:r>
        <w:rPr>
          <w:color w:val="auto"/>
        </w:rPr>
        <w:instrText xml:space="preserve"> TOC \o "1-2" \h \z \u </w:instrText>
      </w:r>
      <w:r>
        <w:rPr>
          <w:color w:val="auto"/>
        </w:rPr>
        <w:fldChar w:fldCharType="separate"/>
      </w:r>
      <w:r>
        <w:rPr>
          <w:color w:val="auto"/>
        </w:rPr>
        <w:fldChar w:fldCharType="begin"/>
      </w:r>
      <w:r>
        <w:rPr>
          <w:color w:val="auto"/>
        </w:rPr>
        <w:instrText xml:space="preserve"> HYPERLINK \l _Toc22256 </w:instrText>
      </w:r>
      <w:r>
        <w:rPr>
          <w:color w:val="auto"/>
        </w:rPr>
        <w:fldChar w:fldCharType="separate"/>
      </w:r>
      <w:r>
        <w:rPr>
          <w:color w:val="auto"/>
          <w:szCs w:val="32"/>
        </w:rPr>
        <w:t>1</w:t>
      </w:r>
      <w:r>
        <w:rPr>
          <w:rFonts w:hint="eastAsia"/>
          <w:color w:val="auto"/>
          <w:szCs w:val="32"/>
        </w:rPr>
        <w:t>规划概况</w:t>
      </w:r>
      <w:r>
        <w:rPr>
          <w:color w:val="auto"/>
        </w:rPr>
        <w:tab/>
      </w:r>
      <w:r>
        <w:rPr>
          <w:color w:val="auto"/>
        </w:rPr>
        <w:fldChar w:fldCharType="begin"/>
      </w:r>
      <w:r>
        <w:rPr>
          <w:color w:val="auto"/>
        </w:rPr>
        <w:instrText xml:space="preserve"> PAGEREF _Toc22256 </w:instrText>
      </w:r>
      <w:r>
        <w:rPr>
          <w:color w:val="auto"/>
        </w:rPr>
        <w:fldChar w:fldCharType="separate"/>
      </w:r>
      <w:r>
        <w:rPr>
          <w:color w:val="auto"/>
        </w:rPr>
        <w:t>1</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_Toc374 </w:instrText>
      </w:r>
      <w:r>
        <w:rPr>
          <w:color w:val="auto"/>
        </w:rPr>
        <w:fldChar w:fldCharType="separate"/>
      </w:r>
      <w:r>
        <w:rPr>
          <w:color w:val="auto"/>
          <w:szCs w:val="28"/>
        </w:rPr>
        <w:t>1.1</w:t>
      </w:r>
      <w:r>
        <w:rPr>
          <w:rFonts w:hint="eastAsia"/>
          <w:color w:val="auto"/>
          <w:szCs w:val="28"/>
        </w:rPr>
        <w:t>规划背景</w:t>
      </w:r>
      <w:r>
        <w:rPr>
          <w:color w:val="auto"/>
        </w:rPr>
        <w:tab/>
      </w:r>
      <w:r>
        <w:rPr>
          <w:color w:val="auto"/>
        </w:rPr>
        <w:fldChar w:fldCharType="begin"/>
      </w:r>
      <w:r>
        <w:rPr>
          <w:color w:val="auto"/>
        </w:rPr>
        <w:instrText xml:space="preserve"> PAGEREF _Toc374 </w:instrText>
      </w:r>
      <w:r>
        <w:rPr>
          <w:color w:val="auto"/>
        </w:rPr>
        <w:fldChar w:fldCharType="separate"/>
      </w:r>
      <w:r>
        <w:rPr>
          <w:color w:val="auto"/>
        </w:rPr>
        <w:t>1</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_Toc20770 </w:instrText>
      </w:r>
      <w:r>
        <w:rPr>
          <w:color w:val="auto"/>
        </w:rPr>
        <w:fldChar w:fldCharType="separate"/>
      </w:r>
      <w:r>
        <w:rPr>
          <w:color w:val="auto"/>
          <w:szCs w:val="28"/>
        </w:rPr>
        <w:t>1.2</w:t>
      </w:r>
      <w:r>
        <w:rPr>
          <w:rFonts w:hint="eastAsia"/>
          <w:color w:val="auto"/>
          <w:szCs w:val="28"/>
        </w:rPr>
        <w:t>规划概况</w:t>
      </w:r>
      <w:r>
        <w:rPr>
          <w:color w:val="auto"/>
        </w:rPr>
        <w:tab/>
      </w:r>
      <w:r>
        <w:rPr>
          <w:color w:val="auto"/>
        </w:rPr>
        <w:fldChar w:fldCharType="begin"/>
      </w:r>
      <w:r>
        <w:rPr>
          <w:color w:val="auto"/>
        </w:rPr>
        <w:instrText xml:space="preserve"> PAGEREF _Toc20770 </w:instrText>
      </w:r>
      <w:r>
        <w:rPr>
          <w:color w:val="auto"/>
        </w:rPr>
        <w:fldChar w:fldCharType="separate"/>
      </w:r>
      <w:r>
        <w:rPr>
          <w:color w:val="auto"/>
        </w:rPr>
        <w:t>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_Toc31063 </w:instrText>
      </w:r>
      <w:r>
        <w:rPr>
          <w:color w:val="auto"/>
        </w:rPr>
        <w:fldChar w:fldCharType="separate"/>
      </w:r>
      <w:r>
        <w:rPr>
          <w:rFonts w:hint="eastAsia"/>
          <w:color w:val="auto"/>
          <w:szCs w:val="32"/>
        </w:rPr>
        <w:t>2环境现状调查与评价</w:t>
      </w:r>
      <w:r>
        <w:rPr>
          <w:color w:val="auto"/>
        </w:rPr>
        <w:tab/>
      </w:r>
      <w:r>
        <w:rPr>
          <w:color w:val="auto"/>
        </w:rPr>
        <w:fldChar w:fldCharType="begin"/>
      </w:r>
      <w:r>
        <w:rPr>
          <w:color w:val="auto"/>
        </w:rPr>
        <w:instrText xml:space="preserve"> PAGEREF _Toc31063 </w:instrText>
      </w:r>
      <w:r>
        <w:rPr>
          <w:color w:val="auto"/>
        </w:rPr>
        <w:fldChar w:fldCharType="separate"/>
      </w:r>
      <w:r>
        <w:rPr>
          <w:color w:val="auto"/>
        </w:rPr>
        <w:t>6</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_Toc27705 </w:instrText>
      </w:r>
      <w:r>
        <w:rPr>
          <w:color w:val="auto"/>
        </w:rPr>
        <w:fldChar w:fldCharType="separate"/>
      </w:r>
      <w:r>
        <w:rPr>
          <w:rFonts w:hint="eastAsia"/>
          <w:color w:val="auto"/>
          <w:szCs w:val="28"/>
        </w:rPr>
        <w:t>2.1</w:t>
      </w:r>
      <w:r>
        <w:rPr>
          <w:color w:val="auto"/>
          <w:szCs w:val="28"/>
        </w:rPr>
        <w:t>自然环境</w:t>
      </w:r>
      <w:r>
        <w:rPr>
          <w:color w:val="auto"/>
        </w:rPr>
        <w:tab/>
      </w:r>
      <w:r>
        <w:rPr>
          <w:color w:val="auto"/>
        </w:rPr>
        <w:fldChar w:fldCharType="begin"/>
      </w:r>
      <w:r>
        <w:rPr>
          <w:color w:val="auto"/>
        </w:rPr>
        <w:instrText xml:space="preserve"> PAGEREF _Toc27705 </w:instrText>
      </w:r>
      <w:r>
        <w:rPr>
          <w:color w:val="auto"/>
        </w:rPr>
        <w:fldChar w:fldCharType="separate"/>
      </w:r>
      <w:r>
        <w:rPr>
          <w:color w:val="auto"/>
        </w:rPr>
        <w:t>6</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_Toc32130 </w:instrText>
      </w:r>
      <w:r>
        <w:rPr>
          <w:color w:val="auto"/>
        </w:rPr>
        <w:fldChar w:fldCharType="separate"/>
      </w:r>
      <w:r>
        <w:rPr>
          <w:rFonts w:hint="eastAsia"/>
          <w:bCs/>
          <w:color w:val="auto"/>
          <w:szCs w:val="28"/>
        </w:rPr>
        <w:t>2.2</w:t>
      </w:r>
      <w:r>
        <w:rPr>
          <w:bCs/>
          <w:color w:val="auto"/>
          <w:szCs w:val="28"/>
        </w:rPr>
        <w:t>环境质量</w:t>
      </w:r>
      <w:r>
        <w:rPr>
          <w:color w:val="auto"/>
        </w:rPr>
        <w:tab/>
      </w:r>
      <w:r>
        <w:rPr>
          <w:color w:val="auto"/>
        </w:rPr>
        <w:fldChar w:fldCharType="begin"/>
      </w:r>
      <w:r>
        <w:rPr>
          <w:color w:val="auto"/>
        </w:rPr>
        <w:instrText xml:space="preserve"> PAGEREF _Toc32130 </w:instrText>
      </w:r>
      <w:r>
        <w:rPr>
          <w:color w:val="auto"/>
        </w:rPr>
        <w:fldChar w:fldCharType="separate"/>
      </w:r>
      <w:r>
        <w:rPr>
          <w:color w:val="auto"/>
        </w:rPr>
        <w:t>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_Toc18058 </w:instrText>
      </w:r>
      <w:r>
        <w:rPr>
          <w:color w:val="auto"/>
        </w:rPr>
        <w:fldChar w:fldCharType="separate"/>
      </w:r>
      <w:r>
        <w:rPr>
          <w:rFonts w:hint="eastAsia"/>
          <w:color w:val="auto"/>
          <w:szCs w:val="32"/>
        </w:rPr>
        <w:t>3环境影响预测与分析</w:t>
      </w:r>
      <w:r>
        <w:rPr>
          <w:color w:val="auto"/>
        </w:rPr>
        <w:tab/>
      </w:r>
      <w:r>
        <w:rPr>
          <w:color w:val="auto"/>
        </w:rPr>
        <w:fldChar w:fldCharType="begin"/>
      </w:r>
      <w:r>
        <w:rPr>
          <w:color w:val="auto"/>
        </w:rPr>
        <w:instrText xml:space="preserve"> PAGEREF _Toc18058 </w:instrText>
      </w:r>
      <w:r>
        <w:rPr>
          <w:color w:val="auto"/>
        </w:rPr>
        <w:fldChar w:fldCharType="separate"/>
      </w:r>
      <w:r>
        <w:rPr>
          <w:color w:val="auto"/>
        </w:rPr>
        <w:t>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_Toc1208 </w:instrText>
      </w:r>
      <w:r>
        <w:rPr>
          <w:color w:val="auto"/>
        </w:rPr>
        <w:fldChar w:fldCharType="separate"/>
      </w:r>
      <w:r>
        <w:rPr>
          <w:rFonts w:hint="eastAsia" w:cs="宋体"/>
          <w:color w:val="auto"/>
          <w:szCs w:val="28"/>
        </w:rPr>
        <w:t>3.</w:t>
      </w:r>
      <w:r>
        <w:rPr>
          <w:rFonts w:cs="宋体"/>
          <w:color w:val="auto"/>
          <w:szCs w:val="28"/>
        </w:rPr>
        <w:t>1</w:t>
      </w:r>
      <w:r>
        <w:rPr>
          <w:rFonts w:hint="eastAsia" w:cs="宋体"/>
          <w:color w:val="auto"/>
          <w:szCs w:val="28"/>
        </w:rPr>
        <w:t>地表水环境影响分析</w:t>
      </w:r>
      <w:r>
        <w:rPr>
          <w:color w:val="auto"/>
        </w:rPr>
        <w:tab/>
      </w:r>
      <w:r>
        <w:rPr>
          <w:color w:val="auto"/>
        </w:rPr>
        <w:fldChar w:fldCharType="begin"/>
      </w:r>
      <w:r>
        <w:rPr>
          <w:color w:val="auto"/>
        </w:rPr>
        <w:instrText xml:space="preserve"> PAGEREF _Toc1208 </w:instrText>
      </w:r>
      <w:r>
        <w:rPr>
          <w:color w:val="auto"/>
        </w:rPr>
        <w:fldChar w:fldCharType="separate"/>
      </w:r>
      <w:r>
        <w:rPr>
          <w:color w:val="auto"/>
        </w:rPr>
        <w:t>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_Toc3724 </w:instrText>
      </w:r>
      <w:r>
        <w:rPr>
          <w:color w:val="auto"/>
        </w:rPr>
        <w:fldChar w:fldCharType="separate"/>
      </w:r>
      <w:r>
        <w:rPr>
          <w:rFonts w:hint="eastAsia" w:cs="宋体"/>
          <w:color w:val="auto"/>
          <w:szCs w:val="28"/>
        </w:rPr>
        <w:t>3.</w:t>
      </w:r>
      <w:r>
        <w:rPr>
          <w:rFonts w:cs="宋体"/>
          <w:color w:val="auto"/>
          <w:szCs w:val="28"/>
        </w:rPr>
        <w:t>2</w:t>
      </w:r>
      <w:r>
        <w:rPr>
          <w:rFonts w:hint="eastAsia" w:cs="宋体"/>
          <w:color w:val="auto"/>
          <w:szCs w:val="28"/>
        </w:rPr>
        <w:t>地下水环境影响分析</w:t>
      </w:r>
      <w:r>
        <w:rPr>
          <w:color w:val="auto"/>
        </w:rPr>
        <w:tab/>
      </w:r>
      <w:r>
        <w:rPr>
          <w:color w:val="auto"/>
        </w:rPr>
        <w:fldChar w:fldCharType="begin"/>
      </w:r>
      <w:r>
        <w:rPr>
          <w:color w:val="auto"/>
        </w:rPr>
        <w:instrText xml:space="preserve"> PAGEREF _Toc3724 </w:instrText>
      </w:r>
      <w:r>
        <w:rPr>
          <w:color w:val="auto"/>
        </w:rPr>
        <w:fldChar w:fldCharType="separate"/>
      </w:r>
      <w:r>
        <w:rPr>
          <w:color w:val="auto"/>
        </w:rPr>
        <w:t>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_Toc13162 </w:instrText>
      </w:r>
      <w:r>
        <w:rPr>
          <w:color w:val="auto"/>
        </w:rPr>
        <w:fldChar w:fldCharType="separate"/>
      </w:r>
      <w:r>
        <w:rPr>
          <w:rFonts w:hint="eastAsia" w:cs="宋体"/>
          <w:color w:val="auto"/>
          <w:szCs w:val="28"/>
        </w:rPr>
        <w:t>3.</w:t>
      </w:r>
      <w:r>
        <w:rPr>
          <w:rFonts w:cs="宋体"/>
          <w:color w:val="auto"/>
          <w:szCs w:val="28"/>
        </w:rPr>
        <w:t>3</w:t>
      </w:r>
      <w:r>
        <w:rPr>
          <w:rFonts w:hint="eastAsia" w:cs="宋体"/>
          <w:color w:val="auto"/>
          <w:szCs w:val="28"/>
        </w:rPr>
        <w:t>大气环境影响分析</w:t>
      </w:r>
      <w:r>
        <w:rPr>
          <w:color w:val="auto"/>
        </w:rPr>
        <w:tab/>
      </w:r>
      <w:r>
        <w:rPr>
          <w:color w:val="auto"/>
        </w:rPr>
        <w:fldChar w:fldCharType="begin"/>
      </w:r>
      <w:r>
        <w:rPr>
          <w:color w:val="auto"/>
        </w:rPr>
        <w:instrText xml:space="preserve"> PAGEREF _Toc13162 </w:instrText>
      </w:r>
      <w:r>
        <w:rPr>
          <w:color w:val="auto"/>
        </w:rPr>
        <w:fldChar w:fldCharType="separate"/>
      </w:r>
      <w:r>
        <w:rPr>
          <w:color w:val="auto"/>
        </w:rPr>
        <w:t>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_Toc3957 </w:instrText>
      </w:r>
      <w:r>
        <w:rPr>
          <w:color w:val="auto"/>
        </w:rPr>
        <w:fldChar w:fldCharType="separate"/>
      </w:r>
      <w:r>
        <w:rPr>
          <w:rFonts w:hint="eastAsia" w:cs="宋体"/>
          <w:color w:val="auto"/>
          <w:szCs w:val="28"/>
        </w:rPr>
        <w:t>3.</w:t>
      </w:r>
      <w:r>
        <w:rPr>
          <w:rFonts w:cs="宋体"/>
          <w:color w:val="auto"/>
          <w:szCs w:val="28"/>
        </w:rPr>
        <w:t>4</w:t>
      </w:r>
      <w:r>
        <w:rPr>
          <w:rFonts w:hint="eastAsia" w:cs="宋体"/>
          <w:color w:val="auto"/>
          <w:szCs w:val="28"/>
        </w:rPr>
        <w:t>声环境影响分析</w:t>
      </w:r>
      <w:r>
        <w:rPr>
          <w:color w:val="auto"/>
        </w:rPr>
        <w:tab/>
      </w:r>
      <w:r>
        <w:rPr>
          <w:color w:val="auto"/>
        </w:rPr>
        <w:fldChar w:fldCharType="begin"/>
      </w:r>
      <w:r>
        <w:rPr>
          <w:color w:val="auto"/>
        </w:rPr>
        <w:instrText xml:space="preserve"> PAGEREF _Toc3957 </w:instrText>
      </w:r>
      <w:r>
        <w:rPr>
          <w:color w:val="auto"/>
        </w:rPr>
        <w:fldChar w:fldCharType="separate"/>
      </w:r>
      <w:r>
        <w:rPr>
          <w:color w:val="auto"/>
        </w:rPr>
        <w:t>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_Toc9808 </w:instrText>
      </w:r>
      <w:r>
        <w:rPr>
          <w:color w:val="auto"/>
        </w:rPr>
        <w:fldChar w:fldCharType="separate"/>
      </w:r>
      <w:r>
        <w:rPr>
          <w:rFonts w:hint="eastAsia" w:cs="宋体"/>
          <w:color w:val="auto"/>
          <w:szCs w:val="28"/>
        </w:rPr>
        <w:t>3.</w:t>
      </w:r>
      <w:r>
        <w:rPr>
          <w:rFonts w:cs="宋体"/>
          <w:color w:val="auto"/>
          <w:szCs w:val="28"/>
        </w:rPr>
        <w:t>5</w:t>
      </w:r>
      <w:r>
        <w:rPr>
          <w:rFonts w:hint="eastAsia" w:cs="宋体"/>
          <w:color w:val="auto"/>
          <w:szCs w:val="28"/>
        </w:rPr>
        <w:t>固废环境影响分析</w:t>
      </w:r>
      <w:r>
        <w:rPr>
          <w:color w:val="auto"/>
        </w:rPr>
        <w:tab/>
      </w:r>
      <w:r>
        <w:rPr>
          <w:color w:val="auto"/>
        </w:rPr>
        <w:fldChar w:fldCharType="begin"/>
      </w:r>
      <w:r>
        <w:rPr>
          <w:color w:val="auto"/>
        </w:rPr>
        <w:instrText xml:space="preserve"> PAGEREF _Toc9808 </w:instrText>
      </w:r>
      <w:r>
        <w:rPr>
          <w:color w:val="auto"/>
        </w:rPr>
        <w:fldChar w:fldCharType="separate"/>
      </w:r>
      <w:r>
        <w:rPr>
          <w:color w:val="auto"/>
        </w:rPr>
        <w:t>9</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_Toc32757 </w:instrText>
      </w:r>
      <w:r>
        <w:rPr>
          <w:color w:val="auto"/>
        </w:rPr>
        <w:fldChar w:fldCharType="separate"/>
      </w:r>
      <w:r>
        <w:rPr>
          <w:color w:val="auto"/>
          <w:szCs w:val="28"/>
        </w:rPr>
        <w:t>3.6生态环境影响分析</w:t>
      </w:r>
      <w:r>
        <w:rPr>
          <w:color w:val="auto"/>
        </w:rPr>
        <w:tab/>
      </w:r>
      <w:r>
        <w:rPr>
          <w:color w:val="auto"/>
        </w:rPr>
        <w:fldChar w:fldCharType="begin"/>
      </w:r>
      <w:r>
        <w:rPr>
          <w:color w:val="auto"/>
        </w:rPr>
        <w:instrText xml:space="preserve"> PAGEREF _Toc32757 </w:instrText>
      </w:r>
      <w:r>
        <w:rPr>
          <w:color w:val="auto"/>
        </w:rPr>
        <w:fldChar w:fldCharType="separate"/>
      </w:r>
      <w:r>
        <w:rPr>
          <w:color w:val="auto"/>
        </w:rPr>
        <w:t>9</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_Toc31445 </w:instrText>
      </w:r>
      <w:r>
        <w:rPr>
          <w:color w:val="auto"/>
        </w:rPr>
        <w:fldChar w:fldCharType="separate"/>
      </w:r>
      <w:r>
        <w:rPr>
          <w:rFonts w:hint="eastAsia"/>
          <w:color w:val="auto"/>
          <w:szCs w:val="28"/>
        </w:rPr>
        <w:t>3.7社会经济影响分析</w:t>
      </w:r>
      <w:r>
        <w:rPr>
          <w:color w:val="auto"/>
        </w:rPr>
        <w:tab/>
      </w:r>
      <w:r>
        <w:rPr>
          <w:color w:val="auto"/>
        </w:rPr>
        <w:fldChar w:fldCharType="begin"/>
      </w:r>
      <w:r>
        <w:rPr>
          <w:color w:val="auto"/>
        </w:rPr>
        <w:instrText xml:space="preserve"> PAGEREF _Toc31445 </w:instrText>
      </w:r>
      <w:r>
        <w:rPr>
          <w:color w:val="auto"/>
        </w:rPr>
        <w:fldChar w:fldCharType="separate"/>
      </w:r>
      <w:r>
        <w:rPr>
          <w:color w:val="auto"/>
        </w:rPr>
        <w:t>9</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_Toc2939 </w:instrText>
      </w:r>
      <w:r>
        <w:rPr>
          <w:color w:val="auto"/>
        </w:rPr>
        <w:fldChar w:fldCharType="separate"/>
      </w:r>
      <w:r>
        <w:rPr>
          <w:rFonts w:hint="eastAsia"/>
          <w:color w:val="auto"/>
          <w:szCs w:val="28"/>
        </w:rPr>
        <w:t>3.8区域环境风险评价</w:t>
      </w:r>
      <w:r>
        <w:rPr>
          <w:color w:val="auto"/>
        </w:rPr>
        <w:tab/>
      </w:r>
      <w:r>
        <w:rPr>
          <w:color w:val="auto"/>
        </w:rPr>
        <w:fldChar w:fldCharType="begin"/>
      </w:r>
      <w:r>
        <w:rPr>
          <w:color w:val="auto"/>
        </w:rPr>
        <w:instrText xml:space="preserve"> PAGEREF _Toc2939 </w:instrText>
      </w:r>
      <w:r>
        <w:rPr>
          <w:color w:val="auto"/>
        </w:rPr>
        <w:fldChar w:fldCharType="separate"/>
      </w:r>
      <w:r>
        <w:rPr>
          <w:color w:val="auto"/>
        </w:rPr>
        <w:t>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_Toc19371 </w:instrText>
      </w:r>
      <w:r>
        <w:rPr>
          <w:color w:val="auto"/>
        </w:rPr>
        <w:fldChar w:fldCharType="separate"/>
      </w:r>
      <w:r>
        <w:rPr>
          <w:rFonts w:hint="eastAsia"/>
          <w:color w:val="auto"/>
          <w:szCs w:val="32"/>
        </w:rPr>
        <w:t>4规划协调性分析</w:t>
      </w:r>
      <w:r>
        <w:rPr>
          <w:color w:val="auto"/>
        </w:rPr>
        <w:tab/>
      </w:r>
      <w:r>
        <w:rPr>
          <w:color w:val="auto"/>
        </w:rPr>
        <w:fldChar w:fldCharType="begin"/>
      </w:r>
      <w:r>
        <w:rPr>
          <w:color w:val="auto"/>
        </w:rPr>
        <w:instrText xml:space="preserve"> PAGEREF _Toc19371 </w:instrText>
      </w:r>
      <w:r>
        <w:rPr>
          <w:color w:val="auto"/>
        </w:rPr>
        <w:fldChar w:fldCharType="separate"/>
      </w:r>
      <w:r>
        <w:rPr>
          <w:color w:val="auto"/>
        </w:rPr>
        <w:t>10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_Toc4835 </w:instrText>
      </w:r>
      <w:r>
        <w:rPr>
          <w:color w:val="auto"/>
        </w:rPr>
        <w:fldChar w:fldCharType="separate"/>
      </w:r>
      <w:r>
        <w:rPr>
          <w:rFonts w:hint="eastAsia"/>
          <w:color w:val="auto"/>
          <w:szCs w:val="28"/>
        </w:rPr>
        <w:t>4.1</w:t>
      </w:r>
      <w:r>
        <w:rPr>
          <w:color w:val="auto"/>
          <w:szCs w:val="28"/>
        </w:rPr>
        <w:t>与相关政策的相符性分析</w:t>
      </w:r>
      <w:r>
        <w:rPr>
          <w:color w:val="auto"/>
        </w:rPr>
        <w:tab/>
      </w:r>
      <w:r>
        <w:rPr>
          <w:color w:val="auto"/>
        </w:rPr>
        <w:fldChar w:fldCharType="begin"/>
      </w:r>
      <w:r>
        <w:rPr>
          <w:color w:val="auto"/>
        </w:rPr>
        <w:instrText xml:space="preserve"> PAGEREF _Toc4835 </w:instrText>
      </w:r>
      <w:r>
        <w:rPr>
          <w:color w:val="auto"/>
        </w:rPr>
        <w:fldChar w:fldCharType="separate"/>
      </w:r>
      <w:r>
        <w:rPr>
          <w:color w:val="auto"/>
        </w:rPr>
        <w:t>10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_Toc19275 </w:instrText>
      </w:r>
      <w:r>
        <w:rPr>
          <w:color w:val="auto"/>
        </w:rPr>
        <w:fldChar w:fldCharType="separate"/>
      </w:r>
      <w:r>
        <w:rPr>
          <w:rFonts w:hint="eastAsia"/>
          <w:color w:val="auto"/>
          <w:szCs w:val="28"/>
        </w:rPr>
        <w:t>4.2</w:t>
      </w:r>
      <w:r>
        <w:rPr>
          <w:color w:val="auto"/>
          <w:szCs w:val="28"/>
        </w:rPr>
        <w:t>与相关规划的相符性分析</w:t>
      </w:r>
      <w:r>
        <w:rPr>
          <w:color w:val="auto"/>
        </w:rPr>
        <w:tab/>
      </w:r>
      <w:r>
        <w:rPr>
          <w:color w:val="auto"/>
        </w:rPr>
        <w:fldChar w:fldCharType="begin"/>
      </w:r>
      <w:r>
        <w:rPr>
          <w:color w:val="auto"/>
        </w:rPr>
        <w:instrText xml:space="preserve"> PAGEREF _Toc19275 </w:instrText>
      </w:r>
      <w:r>
        <w:rPr>
          <w:color w:val="auto"/>
        </w:rPr>
        <w:fldChar w:fldCharType="separate"/>
      </w:r>
      <w:r>
        <w:rPr>
          <w:color w:val="auto"/>
        </w:rPr>
        <w:t>10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_Toc18323 </w:instrText>
      </w:r>
      <w:r>
        <w:rPr>
          <w:color w:val="auto"/>
        </w:rPr>
        <w:fldChar w:fldCharType="separate"/>
      </w:r>
      <w:r>
        <w:rPr>
          <w:color w:val="auto"/>
          <w:szCs w:val="28"/>
        </w:rPr>
        <w:t>4.3</w:t>
      </w:r>
      <w:r>
        <w:rPr>
          <w:rFonts w:hint="eastAsia"/>
          <w:color w:val="auto"/>
          <w:szCs w:val="28"/>
        </w:rPr>
        <w:t>与环保法规及规划相符性分析</w:t>
      </w:r>
      <w:r>
        <w:rPr>
          <w:color w:val="auto"/>
        </w:rPr>
        <w:tab/>
      </w:r>
      <w:r>
        <w:rPr>
          <w:color w:val="auto"/>
        </w:rPr>
        <w:fldChar w:fldCharType="begin"/>
      </w:r>
      <w:r>
        <w:rPr>
          <w:color w:val="auto"/>
        </w:rPr>
        <w:instrText xml:space="preserve"> PAGEREF _Toc18323 </w:instrText>
      </w:r>
      <w:r>
        <w:rPr>
          <w:color w:val="auto"/>
        </w:rPr>
        <w:fldChar w:fldCharType="separate"/>
      </w:r>
      <w:r>
        <w:rPr>
          <w:color w:val="auto"/>
        </w:rPr>
        <w:t>11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_Toc13102 </w:instrText>
      </w:r>
      <w:r>
        <w:rPr>
          <w:color w:val="auto"/>
        </w:rPr>
        <w:fldChar w:fldCharType="separate"/>
      </w:r>
      <w:r>
        <w:rPr>
          <w:color w:val="auto"/>
          <w:szCs w:val="32"/>
        </w:rPr>
        <w:t>5三线一单</w:t>
      </w:r>
      <w:r>
        <w:rPr>
          <w:color w:val="auto"/>
        </w:rPr>
        <w:tab/>
      </w:r>
      <w:r>
        <w:rPr>
          <w:color w:val="auto"/>
        </w:rPr>
        <w:fldChar w:fldCharType="begin"/>
      </w:r>
      <w:r>
        <w:rPr>
          <w:color w:val="auto"/>
        </w:rPr>
        <w:instrText xml:space="preserve"> PAGEREF _Toc13102 </w:instrText>
      </w:r>
      <w:r>
        <w:rPr>
          <w:color w:val="auto"/>
        </w:rPr>
        <w:fldChar w:fldCharType="separate"/>
      </w:r>
      <w:r>
        <w:rPr>
          <w:color w:val="auto"/>
        </w:rPr>
        <w:t>12</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_Toc7224 </w:instrText>
      </w:r>
      <w:r>
        <w:rPr>
          <w:color w:val="auto"/>
        </w:rPr>
        <w:fldChar w:fldCharType="separate"/>
      </w:r>
      <w:r>
        <w:rPr>
          <w:rFonts w:hint="eastAsia"/>
          <w:color w:val="auto"/>
          <w:szCs w:val="28"/>
        </w:rPr>
        <w:t>5.1空间管制范围</w:t>
      </w:r>
      <w:r>
        <w:rPr>
          <w:color w:val="auto"/>
        </w:rPr>
        <w:tab/>
      </w:r>
      <w:r>
        <w:rPr>
          <w:color w:val="auto"/>
        </w:rPr>
        <w:fldChar w:fldCharType="begin"/>
      </w:r>
      <w:r>
        <w:rPr>
          <w:color w:val="auto"/>
        </w:rPr>
        <w:instrText xml:space="preserve"> PAGEREF _Toc7224 </w:instrText>
      </w:r>
      <w:r>
        <w:rPr>
          <w:color w:val="auto"/>
        </w:rPr>
        <w:fldChar w:fldCharType="separate"/>
      </w:r>
      <w:r>
        <w:rPr>
          <w:color w:val="auto"/>
        </w:rPr>
        <w:t>12</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_Toc13816 </w:instrText>
      </w:r>
      <w:r>
        <w:rPr>
          <w:color w:val="auto"/>
        </w:rPr>
        <w:fldChar w:fldCharType="separate"/>
      </w:r>
      <w:r>
        <w:rPr>
          <w:rFonts w:hint="eastAsia"/>
          <w:color w:val="auto"/>
          <w:szCs w:val="28"/>
        </w:rPr>
        <w:t>5.2生态保护红线</w:t>
      </w:r>
      <w:r>
        <w:rPr>
          <w:color w:val="auto"/>
        </w:rPr>
        <w:tab/>
      </w:r>
      <w:r>
        <w:rPr>
          <w:color w:val="auto"/>
        </w:rPr>
        <w:fldChar w:fldCharType="begin"/>
      </w:r>
      <w:r>
        <w:rPr>
          <w:color w:val="auto"/>
        </w:rPr>
        <w:instrText xml:space="preserve"> PAGEREF _Toc13816 </w:instrText>
      </w:r>
      <w:r>
        <w:rPr>
          <w:color w:val="auto"/>
        </w:rPr>
        <w:fldChar w:fldCharType="separate"/>
      </w:r>
      <w:r>
        <w:rPr>
          <w:color w:val="auto"/>
        </w:rPr>
        <w:t>13</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_Toc8398 </w:instrText>
      </w:r>
      <w:r>
        <w:rPr>
          <w:color w:val="auto"/>
        </w:rPr>
        <w:fldChar w:fldCharType="separate"/>
      </w:r>
      <w:r>
        <w:rPr>
          <w:rFonts w:hint="eastAsia"/>
          <w:color w:val="auto"/>
          <w:szCs w:val="28"/>
        </w:rPr>
        <w:t>5.3环境质量底线</w:t>
      </w:r>
      <w:r>
        <w:rPr>
          <w:color w:val="auto"/>
        </w:rPr>
        <w:tab/>
      </w:r>
      <w:r>
        <w:rPr>
          <w:color w:val="auto"/>
        </w:rPr>
        <w:fldChar w:fldCharType="begin"/>
      </w:r>
      <w:r>
        <w:rPr>
          <w:color w:val="auto"/>
        </w:rPr>
        <w:instrText xml:space="preserve"> PAGEREF _Toc8398 </w:instrText>
      </w:r>
      <w:r>
        <w:rPr>
          <w:color w:val="auto"/>
        </w:rPr>
        <w:fldChar w:fldCharType="separate"/>
      </w:r>
      <w:r>
        <w:rPr>
          <w:color w:val="auto"/>
        </w:rPr>
        <w:t>14</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_Toc21498 </w:instrText>
      </w:r>
      <w:r>
        <w:rPr>
          <w:color w:val="auto"/>
        </w:rPr>
        <w:fldChar w:fldCharType="separate"/>
      </w:r>
      <w:r>
        <w:rPr>
          <w:rFonts w:hint="eastAsia"/>
          <w:color w:val="auto"/>
          <w:szCs w:val="28"/>
        </w:rPr>
        <w:t>5.4资源利用上线</w:t>
      </w:r>
      <w:r>
        <w:rPr>
          <w:color w:val="auto"/>
        </w:rPr>
        <w:tab/>
      </w:r>
      <w:r>
        <w:rPr>
          <w:color w:val="auto"/>
        </w:rPr>
        <w:fldChar w:fldCharType="begin"/>
      </w:r>
      <w:r>
        <w:rPr>
          <w:color w:val="auto"/>
        </w:rPr>
        <w:instrText xml:space="preserve"> PAGEREF _Toc21498 </w:instrText>
      </w:r>
      <w:r>
        <w:rPr>
          <w:color w:val="auto"/>
        </w:rPr>
        <w:fldChar w:fldCharType="separate"/>
      </w:r>
      <w:r>
        <w:rPr>
          <w:color w:val="auto"/>
        </w:rPr>
        <w:t>14</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_Toc19357 </w:instrText>
      </w:r>
      <w:r>
        <w:rPr>
          <w:color w:val="auto"/>
        </w:rPr>
        <w:fldChar w:fldCharType="separate"/>
      </w:r>
      <w:r>
        <w:rPr>
          <w:rFonts w:hint="eastAsia"/>
          <w:color w:val="auto"/>
          <w:szCs w:val="28"/>
        </w:rPr>
        <w:t>5.5规划区负面清单建议</w:t>
      </w:r>
      <w:r>
        <w:rPr>
          <w:color w:val="auto"/>
        </w:rPr>
        <w:tab/>
      </w:r>
      <w:r>
        <w:rPr>
          <w:color w:val="auto"/>
        </w:rPr>
        <w:fldChar w:fldCharType="begin"/>
      </w:r>
      <w:r>
        <w:rPr>
          <w:color w:val="auto"/>
        </w:rPr>
        <w:instrText xml:space="preserve"> PAGEREF _Toc19357 </w:instrText>
      </w:r>
      <w:r>
        <w:rPr>
          <w:color w:val="auto"/>
        </w:rPr>
        <w:fldChar w:fldCharType="separate"/>
      </w:r>
      <w:r>
        <w:rPr>
          <w:color w:val="auto"/>
        </w:rPr>
        <w:t>15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_Toc11437 </w:instrText>
      </w:r>
      <w:r>
        <w:rPr>
          <w:color w:val="auto"/>
        </w:rPr>
        <w:fldChar w:fldCharType="separate"/>
      </w:r>
      <w:r>
        <w:rPr>
          <w:rFonts w:hint="eastAsia"/>
          <w:color w:val="auto"/>
          <w:szCs w:val="32"/>
        </w:rPr>
        <w:t>6环境影响减缓对策和措施</w:t>
      </w:r>
      <w:r>
        <w:rPr>
          <w:color w:val="auto"/>
        </w:rPr>
        <w:tab/>
      </w:r>
      <w:r>
        <w:rPr>
          <w:color w:val="auto"/>
        </w:rPr>
        <w:fldChar w:fldCharType="begin"/>
      </w:r>
      <w:r>
        <w:rPr>
          <w:color w:val="auto"/>
        </w:rPr>
        <w:instrText xml:space="preserve"> PAGEREF _Toc11437 </w:instrText>
      </w:r>
      <w:r>
        <w:rPr>
          <w:color w:val="auto"/>
        </w:rPr>
        <w:fldChar w:fldCharType="separate"/>
      </w:r>
      <w:r>
        <w:rPr>
          <w:color w:val="auto"/>
        </w:rPr>
        <w:t>17</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_Toc32581 </w:instrText>
      </w:r>
      <w:r>
        <w:rPr>
          <w:color w:val="auto"/>
        </w:rPr>
        <w:fldChar w:fldCharType="separate"/>
      </w:r>
      <w:r>
        <w:rPr>
          <w:color w:val="auto"/>
          <w:szCs w:val="28"/>
        </w:rPr>
        <w:t>6.1水污染防治措施</w:t>
      </w:r>
      <w:r>
        <w:rPr>
          <w:color w:val="auto"/>
        </w:rPr>
        <w:tab/>
      </w:r>
      <w:r>
        <w:rPr>
          <w:color w:val="auto"/>
        </w:rPr>
        <w:fldChar w:fldCharType="begin"/>
      </w:r>
      <w:r>
        <w:rPr>
          <w:color w:val="auto"/>
        </w:rPr>
        <w:instrText xml:space="preserve"> PAGEREF _Toc32581 </w:instrText>
      </w:r>
      <w:r>
        <w:rPr>
          <w:color w:val="auto"/>
        </w:rPr>
        <w:fldChar w:fldCharType="separate"/>
      </w:r>
      <w:r>
        <w:rPr>
          <w:color w:val="auto"/>
        </w:rPr>
        <w:t>17</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_Toc32020 </w:instrText>
      </w:r>
      <w:r>
        <w:rPr>
          <w:color w:val="auto"/>
        </w:rPr>
        <w:fldChar w:fldCharType="separate"/>
      </w:r>
      <w:r>
        <w:rPr>
          <w:rFonts w:hint="eastAsia"/>
          <w:color w:val="auto"/>
          <w:szCs w:val="28"/>
        </w:rPr>
        <w:t>6.</w:t>
      </w:r>
      <w:r>
        <w:rPr>
          <w:color w:val="auto"/>
          <w:szCs w:val="28"/>
        </w:rPr>
        <w:t>2</w:t>
      </w:r>
      <w:r>
        <w:rPr>
          <w:rFonts w:hint="eastAsia"/>
          <w:color w:val="auto"/>
          <w:szCs w:val="28"/>
        </w:rPr>
        <w:t>大气污染防治措施</w:t>
      </w:r>
      <w:r>
        <w:rPr>
          <w:color w:val="auto"/>
        </w:rPr>
        <w:tab/>
      </w:r>
      <w:r>
        <w:rPr>
          <w:color w:val="auto"/>
        </w:rPr>
        <w:fldChar w:fldCharType="begin"/>
      </w:r>
      <w:r>
        <w:rPr>
          <w:color w:val="auto"/>
        </w:rPr>
        <w:instrText xml:space="preserve"> PAGEREF _Toc32020 </w:instrText>
      </w:r>
      <w:r>
        <w:rPr>
          <w:color w:val="auto"/>
        </w:rPr>
        <w:fldChar w:fldCharType="separate"/>
      </w:r>
      <w:r>
        <w:rPr>
          <w:color w:val="auto"/>
        </w:rPr>
        <w:t>19</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_Toc24088 </w:instrText>
      </w:r>
      <w:r>
        <w:rPr>
          <w:color w:val="auto"/>
        </w:rPr>
        <w:fldChar w:fldCharType="separate"/>
      </w:r>
      <w:r>
        <w:rPr>
          <w:color w:val="auto"/>
          <w:szCs w:val="28"/>
        </w:rPr>
        <w:t>6.3声污染减缓措施</w:t>
      </w:r>
      <w:r>
        <w:rPr>
          <w:color w:val="auto"/>
        </w:rPr>
        <w:tab/>
      </w:r>
      <w:r>
        <w:rPr>
          <w:color w:val="auto"/>
        </w:rPr>
        <w:fldChar w:fldCharType="begin"/>
      </w:r>
      <w:r>
        <w:rPr>
          <w:color w:val="auto"/>
        </w:rPr>
        <w:instrText xml:space="preserve"> PAGEREF _Toc24088 </w:instrText>
      </w:r>
      <w:r>
        <w:rPr>
          <w:color w:val="auto"/>
        </w:rPr>
        <w:fldChar w:fldCharType="separate"/>
      </w:r>
      <w:r>
        <w:rPr>
          <w:color w:val="auto"/>
        </w:rPr>
        <w:t>19</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_Toc14888 </w:instrText>
      </w:r>
      <w:r>
        <w:rPr>
          <w:color w:val="auto"/>
        </w:rPr>
        <w:fldChar w:fldCharType="separate"/>
      </w:r>
      <w:r>
        <w:rPr>
          <w:rFonts w:hint="eastAsia"/>
          <w:color w:val="auto"/>
          <w:szCs w:val="28"/>
        </w:rPr>
        <w:t>6.4固废污染减缓措施</w:t>
      </w:r>
      <w:r>
        <w:rPr>
          <w:color w:val="auto"/>
        </w:rPr>
        <w:tab/>
      </w:r>
      <w:r>
        <w:rPr>
          <w:color w:val="auto"/>
        </w:rPr>
        <w:fldChar w:fldCharType="begin"/>
      </w:r>
      <w:r>
        <w:rPr>
          <w:color w:val="auto"/>
        </w:rPr>
        <w:instrText xml:space="preserve"> PAGEREF _Toc14888 </w:instrText>
      </w:r>
      <w:r>
        <w:rPr>
          <w:color w:val="auto"/>
        </w:rPr>
        <w:fldChar w:fldCharType="separate"/>
      </w:r>
      <w:r>
        <w:rPr>
          <w:color w:val="auto"/>
        </w:rPr>
        <w:t>19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_Toc15695 </w:instrText>
      </w:r>
      <w:r>
        <w:rPr>
          <w:color w:val="auto"/>
        </w:rPr>
        <w:fldChar w:fldCharType="separate"/>
      </w:r>
      <w:r>
        <w:rPr>
          <w:color w:val="auto"/>
          <w:szCs w:val="32"/>
        </w:rPr>
        <w:t>7综合评价结论</w:t>
      </w:r>
      <w:r>
        <w:rPr>
          <w:color w:val="auto"/>
        </w:rPr>
        <w:tab/>
      </w:r>
      <w:r>
        <w:rPr>
          <w:color w:val="auto"/>
        </w:rPr>
        <w:fldChar w:fldCharType="begin"/>
      </w:r>
      <w:r>
        <w:rPr>
          <w:color w:val="auto"/>
        </w:rPr>
        <w:instrText xml:space="preserve"> PAGEREF _Toc15695 </w:instrText>
      </w:r>
      <w:r>
        <w:rPr>
          <w:color w:val="auto"/>
        </w:rPr>
        <w:fldChar w:fldCharType="separate"/>
      </w:r>
      <w:r>
        <w:rPr>
          <w:color w:val="auto"/>
        </w:rPr>
        <w:t>21</w:t>
      </w:r>
      <w:r>
        <w:rPr>
          <w:color w:val="auto"/>
        </w:rPr>
        <w:fldChar w:fldCharType="end"/>
      </w:r>
      <w:r>
        <w:rPr>
          <w:color w:val="auto"/>
        </w:rPr>
        <w:fldChar w:fldCharType="end"/>
      </w:r>
    </w:p>
    <w:p>
      <w:pPr>
        <w:ind w:firstLine="0" w:firstLineChars="0"/>
        <w:jc w:val="left"/>
        <w:rPr>
          <w:color w:val="auto"/>
        </w:rPr>
      </w:pPr>
      <w:r>
        <w:rPr>
          <w:color w:val="auto"/>
        </w:rPr>
        <w:fldChar w:fldCharType="end"/>
      </w:r>
    </w:p>
    <w:p>
      <w:pPr>
        <w:ind w:firstLine="480"/>
        <w:jc w:val="center"/>
        <w:rPr>
          <w:color w:val="auto"/>
        </w:rPr>
        <w:sectPr>
          <w:headerReference r:id="rId9" w:type="default"/>
          <w:footerReference r:id="rId10" w:type="default"/>
          <w:pgSz w:w="11906" w:h="16838"/>
          <w:pgMar w:top="1440" w:right="1800" w:bottom="1440" w:left="1800" w:header="851" w:footer="992" w:gutter="0"/>
          <w:cols w:space="425" w:num="1"/>
          <w:docGrid w:type="lines" w:linePitch="312" w:charSpace="0"/>
        </w:sectPr>
      </w:pPr>
    </w:p>
    <w:p>
      <w:pPr>
        <w:spacing w:beforeLines="100" w:afterLines="100"/>
        <w:ind w:left="0" w:leftChars="0" w:firstLine="0" w:firstLineChars="0"/>
        <w:jc w:val="center"/>
        <w:outlineLvl w:val="0"/>
        <w:rPr>
          <w:b/>
          <w:color w:val="auto"/>
          <w:sz w:val="32"/>
          <w:szCs w:val="32"/>
        </w:rPr>
      </w:pPr>
      <w:bookmarkStart w:id="0" w:name="_Toc22256"/>
      <w:r>
        <w:rPr>
          <w:b/>
          <w:color w:val="auto"/>
          <w:sz w:val="32"/>
          <w:szCs w:val="32"/>
        </w:rPr>
        <w:t>1</w:t>
      </w:r>
      <w:r>
        <w:rPr>
          <w:rFonts w:hint="eastAsia"/>
          <w:b/>
          <w:color w:val="auto"/>
          <w:sz w:val="32"/>
          <w:szCs w:val="32"/>
        </w:rPr>
        <w:t>规划概况</w:t>
      </w:r>
      <w:bookmarkEnd w:id="0"/>
    </w:p>
    <w:p>
      <w:pPr>
        <w:spacing w:beforeLines="50" w:afterLines="50"/>
        <w:ind w:firstLine="0" w:firstLineChars="0"/>
        <w:jc w:val="left"/>
        <w:outlineLvl w:val="1"/>
        <w:rPr>
          <w:b/>
          <w:color w:val="auto"/>
          <w:sz w:val="28"/>
          <w:szCs w:val="28"/>
        </w:rPr>
      </w:pPr>
      <w:bookmarkStart w:id="1" w:name="_Toc374"/>
      <w:r>
        <w:rPr>
          <w:b/>
          <w:color w:val="auto"/>
          <w:sz w:val="28"/>
          <w:szCs w:val="28"/>
        </w:rPr>
        <w:t>1.1</w:t>
      </w:r>
      <w:r>
        <w:rPr>
          <w:rFonts w:hint="eastAsia"/>
          <w:b/>
          <w:color w:val="auto"/>
          <w:sz w:val="28"/>
          <w:szCs w:val="28"/>
        </w:rPr>
        <w:t>规划背景</w:t>
      </w:r>
      <w:bookmarkEnd w:id="1"/>
    </w:p>
    <w:p>
      <w:pPr>
        <w:ind w:firstLine="480"/>
        <w:rPr>
          <w:color w:val="auto"/>
        </w:rPr>
      </w:pPr>
      <w:r>
        <w:rPr>
          <w:rFonts w:hint="eastAsia"/>
          <w:color w:val="auto"/>
        </w:rPr>
        <w:t>规划区域</w:t>
      </w:r>
      <w:r>
        <w:rPr>
          <w:rFonts w:hint="eastAsia"/>
          <w:color w:val="auto"/>
          <w:lang w:val="en-US" w:eastAsia="zh-CN"/>
        </w:rPr>
        <w:t>为</w:t>
      </w:r>
      <w:r>
        <w:rPr>
          <w:color w:val="auto"/>
        </w:rPr>
        <w:t>中新广州知识城AG0622规划管理单元中的AG0622017地块，地块位于规划开放大道以东、改革大道以西、智慧东路以南，宝能电池厂项目西南侧，面积约7公顷（105亩）</w:t>
      </w:r>
      <w:r>
        <w:rPr>
          <w:rFonts w:hint="eastAsia"/>
          <w:color w:val="auto"/>
        </w:rPr>
        <w:t>。</w:t>
      </w:r>
    </w:p>
    <w:p>
      <w:pPr>
        <w:ind w:firstLine="480"/>
        <w:rPr>
          <w:color w:val="auto"/>
        </w:rPr>
      </w:pPr>
      <w:r>
        <w:rPr>
          <w:rFonts w:hint="eastAsia"/>
          <w:color w:val="auto"/>
        </w:rPr>
        <w:t>为</w:t>
      </w:r>
      <w:r>
        <w:rPr>
          <w:color w:val="auto"/>
        </w:rPr>
        <w:t>贯彻黄埔区对新能源产业的发展需求，本地块需承担与之匹配的高标准产业服务职能，考虑到地块现行控规为农林用地，需要对用地性质及相关指标进行调整</w:t>
      </w:r>
      <w:r>
        <w:rPr>
          <w:rFonts w:hint="eastAsia"/>
          <w:color w:val="auto"/>
          <w:lang w:eastAsia="zh-CN"/>
        </w:rPr>
        <w:t>，</w:t>
      </w:r>
      <w:r>
        <w:rPr>
          <w:rFonts w:hint="eastAsia"/>
          <w:color w:val="auto"/>
        </w:rPr>
        <w:t>开展</w:t>
      </w:r>
      <w:r>
        <w:rPr>
          <w:color w:val="auto"/>
        </w:rPr>
        <w:t>中新广州知识城AG0622规划管理单元控制性详细规划调整</w:t>
      </w:r>
      <w:r>
        <w:rPr>
          <w:rFonts w:hint="eastAsia"/>
          <w:color w:val="auto"/>
        </w:rPr>
        <w:t>工作（以下简称“</w:t>
      </w:r>
      <w:r>
        <w:rPr>
          <w:color w:val="auto"/>
        </w:rPr>
        <w:t>控规调整</w:t>
      </w:r>
      <w:r>
        <w:rPr>
          <w:rFonts w:hint="eastAsia"/>
          <w:color w:val="auto"/>
        </w:rPr>
        <w:t>”）。</w:t>
      </w:r>
    </w:p>
    <w:p>
      <w:pPr>
        <w:ind w:firstLine="480"/>
        <w:rPr>
          <w:color w:val="auto"/>
        </w:rPr>
      </w:pPr>
      <w:r>
        <w:rPr>
          <w:rFonts w:hint="eastAsia"/>
          <w:color w:val="auto"/>
        </w:rPr>
        <w:t>根据《中华人民共和国环境影响评价法》（</w:t>
      </w:r>
      <w:r>
        <w:rPr>
          <w:color w:val="auto"/>
        </w:rPr>
        <w:t>2018</w:t>
      </w:r>
      <w:r>
        <w:rPr>
          <w:rFonts w:hint="eastAsia"/>
          <w:color w:val="auto"/>
        </w:rPr>
        <w:t>年</w:t>
      </w:r>
      <w:r>
        <w:rPr>
          <w:color w:val="auto"/>
        </w:rPr>
        <w:t>12</w:t>
      </w:r>
      <w:r>
        <w:rPr>
          <w:rFonts w:hint="eastAsia"/>
          <w:color w:val="auto"/>
        </w:rPr>
        <w:t>月</w:t>
      </w:r>
      <w:r>
        <w:rPr>
          <w:color w:val="auto"/>
        </w:rPr>
        <w:t>29</w:t>
      </w:r>
      <w:r>
        <w:rPr>
          <w:rFonts w:hint="eastAsia"/>
          <w:color w:val="auto"/>
        </w:rPr>
        <w:t>日修正并施行）、</w:t>
      </w:r>
      <w:r>
        <w:rPr>
          <w:color w:val="auto"/>
        </w:rPr>
        <w:t>《规划环境影响评价条例》（国务院令第559号）</w:t>
      </w:r>
      <w:r>
        <w:rPr>
          <w:rFonts w:hint="eastAsia"/>
          <w:color w:val="auto"/>
        </w:rPr>
        <w:t>等有关环保法律、法规的要求，开展</w:t>
      </w:r>
      <w:r>
        <w:rPr>
          <w:color w:val="auto"/>
        </w:rPr>
        <w:t>中新广州知识城AG0622规划管理单元控制性详细规划调整</w:t>
      </w:r>
      <w:r>
        <w:rPr>
          <w:rFonts w:hint="eastAsia"/>
          <w:color w:val="auto"/>
        </w:rPr>
        <w:t>环境影响评价工作。</w:t>
      </w:r>
    </w:p>
    <w:p>
      <w:pPr>
        <w:pStyle w:val="31"/>
        <w:rPr>
          <w:rFonts w:cs="Times New Roman"/>
          <w:color w:val="auto"/>
        </w:rPr>
      </w:pPr>
      <w:r>
        <w:rPr>
          <w:rFonts w:cs="Times New Roman"/>
          <w:color w:val="auto"/>
        </w:rPr>
        <w:pict>
          <v:shape id="文本框 18" o:spid="_x0000_s1028" o:spt="202" type="#_x0000_t202" style="position:absolute;left:0pt;margin-left:8.4pt;margin-top:451.1pt;height:25.75pt;width:73.2pt;z-index:264946688;mso-width-relative:page;mso-height-relative:page;" filled="f" stroked="f" coordsize="21600,21600" o:gfxdata="UEsDBAoAAAAAAIdO4kAAAAAAAAAAAAAAAAAEAAAAZHJzL1BLAwQUAAAACACHTuJA7QuzfNoAAAAK&#10;AQAADwAAAGRycy9kb3ducmV2LnhtbE2PzU7DMBCE70i8g7VI3KjdVA1tiFOhSBUSgkNLL7058TaJ&#10;iNchdn/g6dme4LazO5r9Jl9dXC9OOIbOk4bpRIFAqr3tqNGw+1g/LECEaMia3hNq+MYAq+L2JjeZ&#10;9Wfa4GkbG8EhFDKjoY1xyKQMdYvOhIkfkPh28KMzkeXYSDuaM4e7XiZKpdKZjvhDawYsW6w/t0en&#10;4bVcv5tNlbjFT1++vB2eh6/dfq71/d1UPYGIeIl/ZrjiMzoUzFT5I9kgetYpk0cNS5UkIK6GdMZD&#10;xZv57BFkkcv/FYpfUEsDBBQAAAAIAIdO4kB1JdAWOwIAAGcEAAAOAAAAZHJzL2Uyb0RvYy54bWyt&#10;VM1uEzEQviPxDpbvdJP0j0bdVKFVEVJFKxXE2fF6syvZHmM73S0PAG/QExfuPFeeg8/eJK0Khx64&#10;OOOZ2W/8fTOT07PeaHanfGjJlny8N+JMWUlVa5cl//zp8s1bzkIUthKarCr5vQr8bPb61WnnpmpC&#10;DelKeQYQG6adK3kTo5sWRZCNMiLskVMWwZq8ERFXvywqLzqgG11MRqOjoiNfOU9ShQDvxRDkG0T/&#10;EkCq61aqC5Iro2wcUL3SIoJSaFoX+Cy/tq6VjNd1HVRkuuRgGvOJIrAX6Sxmp2K69MI1rdw8Qbzk&#10;Cc84GdFaFN1BXYgo2Mq3f0GZVnoKVMc9SaYYiGRFwGI8eqbNbSOcylwgdXA70cP/g5Uf7248aytM&#10;AvpuhUHH1w8/1j9/r399Z/BBoM6FKfJuHTJj/456JG/9Ac7Eu6+9Sb9gxBCHvPc7eVUfmYTzZHJy&#10;dICIRGh/cjyaHCaU4vFj50N8r8iwZJTco3tZVHF3FeKQuk1JtSxdtlrnDmrLupIf7R+O8ge7CMC1&#10;RY1EYXhqsmK/6De8FlTdg5anYTKCk5ctil+JEG+ExyjgvViWeI2j1oQitLE4a8h/+5c/5aNDiHLW&#10;YbRKHr6uhFec6Q8WvTsZHyQZYr4cHB5PcPFPI4unEbsy54TpHWMtncxmyo96a9aezBfs1DxVRUhY&#10;idolj1vzPA4Dj52Uaj7PSZg+J+KVvXUyQQ9yzleR6jYrnWQatNmoh/nLvdrsShrwp/ec9fj/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QuzfNoAAAAKAQAADwAAAAAAAAABACAAAAAiAAAAZHJz&#10;L2Rvd25yZXYueG1sUEsBAhQAFAAAAAgAh07iQHUl0BY7AgAAZwQAAA4AAAAAAAAAAQAgAAAAKQEA&#10;AGRycy9lMm9Eb2MueG1sUEsFBgAAAAAGAAYAWQEAANYFAAAAAA==&#10;">
            <v:path/>
            <v:fill on="f" focussize="0,0"/>
            <v:stroke on="f" weight="0.5pt"/>
            <v:imagedata o:title=""/>
            <o:lock v:ext="edit" aspectratio="f"/>
            <v:textbox>
              <w:txbxContent>
                <w:p>
                  <w:pPr>
                    <w:spacing w:line="240" w:lineRule="auto"/>
                    <w:ind w:firstLine="0" w:firstLineChars="0"/>
                    <w:rPr>
                      <w:sz w:val="11"/>
                      <w:szCs w:val="11"/>
                    </w:rPr>
                  </w:pPr>
                  <w:r>
                    <w:rPr>
                      <w:rFonts w:hint="eastAsia"/>
                      <w:sz w:val="11"/>
                      <w:szCs w:val="11"/>
                    </w:rPr>
                    <w:t>1公里</w:t>
                  </w:r>
                </w:p>
              </w:txbxContent>
            </v:textbox>
          </v:shape>
        </w:pict>
      </w:r>
      <w:r>
        <w:rPr>
          <w:rFonts w:cs="Times New Roman"/>
          <w:color w:val="auto"/>
        </w:rPr>
        <w:drawing>
          <wp:anchor distT="0" distB="0" distL="114300" distR="114300" simplePos="0" relativeHeight="264944640" behindDoc="0" locked="0" layoutInCell="1" allowOverlap="1">
            <wp:simplePos x="0" y="0"/>
            <wp:positionH relativeFrom="column">
              <wp:posOffset>4821555</wp:posOffset>
            </wp:positionH>
            <wp:positionV relativeFrom="paragraph">
              <wp:posOffset>23495</wp:posOffset>
            </wp:positionV>
            <wp:extent cx="333375" cy="469900"/>
            <wp:effectExtent l="0" t="0" r="9525" b="6350"/>
            <wp:wrapNone/>
            <wp:docPr id="20" name="图片 20" descr="160266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2663218(1)"/>
                    <pic:cNvPicPr>
                      <a:picLocks noChangeAspect="1"/>
                    </pic:cNvPicPr>
                  </pic:nvPicPr>
                  <pic:blipFill>
                    <a:blip r:embed="rId13"/>
                    <a:stretch>
                      <a:fillRect/>
                    </a:stretch>
                  </pic:blipFill>
                  <pic:spPr>
                    <a:xfrm>
                      <a:off x="0" y="0"/>
                      <a:ext cx="333375" cy="469900"/>
                    </a:xfrm>
                    <a:prstGeom prst="rect">
                      <a:avLst/>
                    </a:prstGeom>
                  </pic:spPr>
                </pic:pic>
              </a:graphicData>
            </a:graphic>
          </wp:anchor>
        </w:drawing>
      </w:r>
      <w:r>
        <w:rPr>
          <w:rFonts w:cs="Times New Roman"/>
          <w:color w:val="auto"/>
          <w:lang w:val="en-US"/>
        </w:rPr>
        <w:pict>
          <v:shape id="对话气泡: 矩形 1024" o:spid="_x0000_s1027" o:spt="61" type="#_x0000_t61" style="position:absolute;left:0pt;margin-left:24.5pt;margin-top:259.2pt;height:21.7pt;width:74.7pt;z-index:254662656;v-text-anchor:middle;mso-width-relative:page;mso-height-relative:page;" filled="f" stroked="t" coordsize="21600,21600" o:gfxdata="UEsDBAoAAAAAAIdO4kAAAAAAAAAAAAAAAAAEAAAAZHJzL1BLAwQUAAAACACHTuJAc2I9AtoAAAAK&#10;AQAADwAAAGRycy9kb3ducmV2LnhtbE2PwU7DMBBE70j8g7VI3KiTEKo0jVOhSr0gISBFqEc3XpII&#10;ex3ZblP4epwT3HZ3RrNvqs3FaHZG5wdLAtJFAgyptWqgTsD7fndXAPNBkpLaEgr4Rg+b+vqqkqWy&#10;E73huQkdiyHkSymgD2EsOfdtj0b6hR2RovZpnZEhrq7jyskphhvNsyRZciMHih96OeK2x/arORkB&#10;z839Nj9kfveytz86fDxOmXt6FeL2Jk3WwAJewp8ZZvyIDnVkOtoTKc+0gHwVqwQBD2mRA5sNq3k4&#10;xssyLYDXFf9fof4FUEsDBBQAAAAIAIdO4kC7z37RxQIAAGkFAAAOAAAAZHJzL2Uyb0RvYy54bWyt&#10;VM1uEzEQviPxDpbv7f6QND/qpooSFSFVtKIgzo7Xu2vkP2wnm/IcXBGCG6ciceLA47TwGIy92zYU&#10;Dj2Qw2bGM/5m5psZHx5tpUAbZh3XqsDZfooRU1SXXNUFfvXyeG+MkfNElURoxQp8wRw+mj1+dNia&#10;Kct1o0XJLAIQ5aatKXDjvZkmiaMNk8Tta8MUGCttJfGg2jopLWkBXYokT9ODpNW2NFZT5hycLjsj&#10;7hHtQwB1VXHKlpquJVO+Q7VMEA8luYYbh2cx26pi1J9WlWMeiQJDpT5+IQjIq/BNZodkWltiGk77&#10;FMhDUrhXkyRcQdBbqCXxBK0t/wtKcmq105Xfp1omXSGREagiS+9xc94Qw2ItQLUzt6S7/wdLn2/O&#10;LOIlTEKaDzBSRELPry6//7r8cP31/fW3T1P08+OXqx+fUXQAvlrjpnDt3JzZXnMghuK3lZXhH8pC&#10;28jxxS3HbOsRhcPJYHwwAfYpmPLRcAgyoCR3l411/inTEgWhwC0ra/YC+rggQui1jyyTzYnzke6y&#10;z5iUbzKMKimgexsi0PDJKJ/03d3xyXd99vLsIB0P+vg9JmRyk0EIoPQxFyJOiVCoBZryURrSJzD6&#10;FYwciNIAfU7VGBFRw05Rb2OWTgtehusByNl6tRAWQXIFHmSjbLLonBpSsu50mMKvz6Z3j8z8gROS&#10;WxLXdFeiqStTcg97Kbgs8DgA3SAJBSChZ12XguS3q23fupUuL2AArO42wxl6zCHCCXH+jFggE2qF&#10;x8KfwqcSGgjQvYRRo+27f50Hf5hQsGLUwmoBOW/XxDKMxDMFszvJBgOA9VEZDEc5KHbXstq1qLVc&#10;aOAM2gvZRTH4e3EjVlbL1/CmzENUMBFFIXbXhl5Z+G7l4VWibD6PbrB/hvgTdW5oAO+aPV97XXEf&#10;JjIQ1bHTK7CBsR39axFWfFePXncv5O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c2I9AtoAAAAK&#10;AQAADwAAAAAAAAABACAAAAAiAAAAZHJzL2Rvd25yZXYueG1sUEsBAhQAFAAAAAgAh07iQLvPftHF&#10;AgAAaQUAAA4AAAAAAAAAAQAgAAAAKQEAAGRycy9lMm9Eb2MueG1sUEsFBgAAAAAGAAYAWQEAAGAG&#10;AAAAAA==&#10;" adj="22405,-35874">
            <v:path/>
            <v:fill on="f" focussize="0,0"/>
            <v:stroke weight="1pt" color="#41719C" miterlimit="8" joinstyle="miter"/>
            <v:imagedata o:title=""/>
            <o:lock v:ext="edit" aspectratio="f"/>
            <v:textbox>
              <w:txbxContent>
                <w:p>
                  <w:pPr>
                    <w:pStyle w:val="31"/>
                    <w:rPr>
                      <w:b/>
                      <w:bCs/>
                      <w:color w:val="FF0000"/>
                      <w:lang w:val="en-US"/>
                    </w:rPr>
                  </w:pPr>
                  <w:r>
                    <w:rPr>
                      <w:rFonts w:hint="eastAsia"/>
                      <w:b/>
                      <w:bCs/>
                      <w:color w:val="FF0000"/>
                      <w:lang w:val="en-US"/>
                    </w:rPr>
                    <w:t>知识城</w:t>
                  </w:r>
                </w:p>
              </w:txbxContent>
            </v:textbox>
          </v:shape>
        </w:pict>
      </w:r>
      <w:r>
        <w:rPr>
          <w:rFonts w:cs="Times New Roman"/>
          <w:color w:val="auto"/>
          <w:lang w:val="en-US"/>
        </w:rPr>
        <w:drawing>
          <wp:inline distT="0" distB="0" distL="114300" distR="114300">
            <wp:extent cx="5330825" cy="6284595"/>
            <wp:effectExtent l="0" t="0" r="3175" b="1905"/>
            <wp:docPr id="7" name="图片 7" descr="159894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8948345(1)"/>
                    <pic:cNvPicPr>
                      <a:picLocks noChangeAspect="1"/>
                    </pic:cNvPicPr>
                  </pic:nvPicPr>
                  <pic:blipFill>
                    <a:blip r:embed="rId14"/>
                    <a:stretch>
                      <a:fillRect/>
                    </a:stretch>
                  </pic:blipFill>
                  <pic:spPr>
                    <a:xfrm>
                      <a:off x="0" y="0"/>
                      <a:ext cx="5330825" cy="6284595"/>
                    </a:xfrm>
                    <a:prstGeom prst="rect">
                      <a:avLst/>
                    </a:prstGeom>
                  </pic:spPr>
                </pic:pic>
              </a:graphicData>
            </a:graphic>
          </wp:inline>
        </w:drawing>
      </w:r>
    </w:p>
    <w:p>
      <w:pPr>
        <w:ind w:firstLine="0" w:firstLineChars="0"/>
        <w:jc w:val="center"/>
        <w:rPr>
          <w:b/>
          <w:bCs/>
          <w:color w:val="auto"/>
        </w:rPr>
      </w:pPr>
      <w:r>
        <w:rPr>
          <w:rFonts w:hint="eastAsia"/>
          <w:b/>
          <w:bCs/>
          <w:color w:val="auto"/>
        </w:rPr>
        <w:t>图</w:t>
      </w:r>
      <w:r>
        <w:rPr>
          <w:b/>
          <w:bCs/>
          <w:color w:val="auto"/>
        </w:rPr>
        <w:t>1.1-1</w:t>
      </w:r>
      <w:r>
        <w:rPr>
          <w:rFonts w:hint="eastAsia"/>
          <w:b/>
          <w:bCs/>
          <w:color w:val="auto"/>
        </w:rPr>
        <w:t>本规划位置图</w:t>
      </w:r>
    </w:p>
    <w:p>
      <w:pPr>
        <w:spacing w:beforeLines="50" w:afterLines="50"/>
        <w:ind w:firstLine="0" w:firstLineChars="0"/>
        <w:outlineLvl w:val="1"/>
        <w:rPr>
          <w:b/>
          <w:color w:val="auto"/>
          <w:sz w:val="28"/>
          <w:szCs w:val="28"/>
        </w:rPr>
      </w:pPr>
      <w:bookmarkStart w:id="2" w:name="_Toc20770"/>
      <w:r>
        <w:rPr>
          <w:b/>
          <w:color w:val="auto"/>
          <w:sz w:val="28"/>
          <w:szCs w:val="28"/>
        </w:rPr>
        <w:t>1.2</w:t>
      </w:r>
      <w:r>
        <w:rPr>
          <w:rFonts w:hint="eastAsia"/>
          <w:b/>
          <w:color w:val="auto"/>
          <w:sz w:val="28"/>
          <w:szCs w:val="28"/>
        </w:rPr>
        <w:t>规划概况</w:t>
      </w:r>
      <w:bookmarkEnd w:id="2"/>
    </w:p>
    <w:p>
      <w:pPr>
        <w:ind w:firstLine="0" w:firstLineChars="0"/>
        <w:outlineLvl w:val="2"/>
        <w:rPr>
          <w:b/>
          <w:color w:val="auto"/>
          <w:sz w:val="28"/>
          <w:szCs w:val="28"/>
        </w:rPr>
      </w:pPr>
      <w:r>
        <w:rPr>
          <w:b/>
          <w:color w:val="auto"/>
          <w:sz w:val="28"/>
          <w:szCs w:val="28"/>
        </w:rPr>
        <w:t>1.2.1</w:t>
      </w:r>
      <w:r>
        <w:rPr>
          <w:rFonts w:hint="eastAsia"/>
          <w:b/>
          <w:color w:val="auto"/>
          <w:sz w:val="28"/>
          <w:szCs w:val="28"/>
        </w:rPr>
        <w:t>规划名称和规划范围</w:t>
      </w:r>
    </w:p>
    <w:p>
      <w:pPr>
        <w:ind w:firstLine="480"/>
        <w:rPr>
          <w:color w:val="auto"/>
        </w:rPr>
      </w:pPr>
      <w:r>
        <w:rPr>
          <w:rFonts w:hint="eastAsia"/>
          <w:color w:val="auto"/>
        </w:rPr>
        <w:t>规划名称：</w:t>
      </w:r>
      <w:r>
        <w:rPr>
          <w:color w:val="auto"/>
        </w:rPr>
        <w:t>中新广州知识城AG0622规划管理单元控制性详细规划调整</w:t>
      </w:r>
    </w:p>
    <w:p>
      <w:pPr>
        <w:ind w:firstLine="480"/>
        <w:rPr>
          <w:color w:val="auto"/>
        </w:rPr>
      </w:pPr>
      <w:r>
        <w:rPr>
          <w:rFonts w:hint="eastAsia"/>
          <w:color w:val="auto"/>
        </w:rPr>
        <w:t>规划范围：</w:t>
      </w:r>
      <w:r>
        <w:rPr>
          <w:color w:val="auto"/>
        </w:rPr>
        <w:t>AG0622规划管理单元中的AG0622017地块，地块位于规划开放大道以东、改革大道以西、智慧东路以南，宝能电池厂项目西南侧，面积约7公顷（105亩）</w:t>
      </w:r>
      <w:r>
        <w:rPr>
          <w:rFonts w:hint="eastAsia"/>
          <w:color w:val="auto"/>
          <w:spacing w:val="4"/>
        </w:rPr>
        <w:t>。</w:t>
      </w:r>
    </w:p>
    <w:p>
      <w:pPr>
        <w:pStyle w:val="31"/>
        <w:rPr>
          <w:rFonts w:cs="Times New Roman"/>
          <w:color w:val="auto"/>
        </w:rPr>
      </w:pPr>
      <w:r>
        <w:rPr>
          <w:rFonts w:cs="Times New Roman"/>
          <w:color w:val="auto"/>
        </w:rPr>
        <w:pict>
          <v:shape id="_x0000_s1029" o:spid="_x0000_s1029" o:spt="202" type="#_x0000_t202" style="position:absolute;left:0pt;margin-left:8.4pt;margin-top:451.1pt;height:25.75pt;width:73.2pt;z-index:278236160;mso-width-relative:page;mso-height-relative:page;" filled="f" stroked="f" coordsize="21600,21600" o:gfxdata="UEsDBAoAAAAAAIdO4kAAAAAAAAAAAAAAAAAEAAAAZHJzL1BLAwQUAAAACACHTuJA7QuzfNoAAAAK&#10;AQAADwAAAGRycy9kb3ducmV2LnhtbE2PzU7DMBCE70i8g7VI3KjdVA1tiFOhSBUSgkNLL7058TaJ&#10;iNchdn/g6dme4LazO5r9Jl9dXC9OOIbOk4bpRIFAqr3tqNGw+1g/LECEaMia3hNq+MYAq+L2JjeZ&#10;9Wfa4GkbG8EhFDKjoY1xyKQMdYvOhIkfkPh28KMzkeXYSDuaM4e7XiZKpdKZjvhDawYsW6w/t0en&#10;4bVcv5tNlbjFT1++vB2eh6/dfq71/d1UPYGIeIl/ZrjiMzoUzFT5I9kgetYpk0cNS5UkIK6GdMZD&#10;xZv57BFkkcv/FYpfUEsDBBQAAAAIAIdO4kB1JdAWOwIAAGcEAAAOAAAAZHJzL2Uyb0RvYy54bWyt&#10;VM1uEzEQviPxDpbvdJP0j0bdVKFVEVJFKxXE2fF6syvZHmM73S0PAG/QExfuPFeeg8/eJK0Khx64&#10;OOOZ2W/8fTOT07PeaHanfGjJlny8N+JMWUlVa5cl//zp8s1bzkIUthKarCr5vQr8bPb61WnnpmpC&#10;DelKeQYQG6adK3kTo5sWRZCNMiLskVMWwZq8ERFXvywqLzqgG11MRqOjoiNfOU9ShQDvxRDkG0T/&#10;EkCq61aqC5Iro2wcUL3SIoJSaFoX+Cy/tq6VjNd1HVRkuuRgGvOJIrAX6Sxmp2K69MI1rdw8Qbzk&#10;Cc84GdFaFN1BXYgo2Mq3f0GZVnoKVMc9SaYYiGRFwGI8eqbNbSOcylwgdXA70cP/g5Uf7248aytM&#10;AvpuhUHH1w8/1j9/r399Z/BBoM6FKfJuHTJj/456JG/9Ac7Eu6+9Sb9gxBCHvPc7eVUfmYTzZHJy&#10;dICIRGh/cjyaHCaU4vFj50N8r8iwZJTco3tZVHF3FeKQuk1JtSxdtlrnDmrLupIf7R+O8ge7CMC1&#10;RY1EYXhqsmK/6De8FlTdg5anYTKCk5ctil+JEG+ExyjgvViWeI2j1oQitLE4a8h/+5c/5aNDiHLW&#10;YbRKHr6uhFec6Q8WvTsZHyQZYr4cHB5PcPFPI4unEbsy54TpHWMtncxmyo96a9aezBfs1DxVRUhY&#10;idolj1vzPA4Dj52Uaj7PSZg+J+KVvXUyQQ9yzleR6jYrnWQatNmoh/nLvdrsShrwp/ec9fj/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QuzfNoAAAAKAQAADwAAAAAAAAABACAAAAAiAAAAZHJz&#10;L2Rvd25yZXYueG1sUEsBAhQAFAAAAAgAh07iQHUl0BY7AgAAZwQAAA4AAAAAAAAAAQAgAAAAKQEA&#10;AGRycy9lMm9Eb2MueG1sUEsFBgAAAAAGAAYAWQEAANYFAAAAAA==&#10;">
            <v:path/>
            <v:fill on="f" focussize="0,0"/>
            <v:stroke on="f" weight="0.5pt"/>
            <v:imagedata o:title=""/>
            <o:lock v:ext="edit" aspectratio="f"/>
            <v:textbox>
              <w:txbxContent>
                <w:p>
                  <w:pPr>
                    <w:spacing w:line="240" w:lineRule="auto"/>
                    <w:ind w:firstLine="0" w:firstLineChars="0"/>
                    <w:rPr>
                      <w:sz w:val="11"/>
                      <w:szCs w:val="11"/>
                    </w:rPr>
                  </w:pPr>
                  <w:r>
                    <w:rPr>
                      <w:rFonts w:hint="eastAsia"/>
                      <w:sz w:val="11"/>
                      <w:szCs w:val="11"/>
                    </w:rPr>
                    <w:t>1公里</w:t>
                  </w:r>
                </w:p>
              </w:txbxContent>
            </v:textbox>
          </v:shape>
        </w:pict>
      </w:r>
      <w:r>
        <w:rPr>
          <w:rFonts w:cs="Times New Roman"/>
          <w:color w:val="auto"/>
        </w:rPr>
        <w:drawing>
          <wp:anchor distT="0" distB="0" distL="114300" distR="114300" simplePos="0" relativeHeight="278234112" behindDoc="0" locked="0" layoutInCell="1" allowOverlap="1">
            <wp:simplePos x="0" y="0"/>
            <wp:positionH relativeFrom="column">
              <wp:posOffset>4821555</wp:posOffset>
            </wp:positionH>
            <wp:positionV relativeFrom="paragraph">
              <wp:posOffset>23495</wp:posOffset>
            </wp:positionV>
            <wp:extent cx="333375" cy="469900"/>
            <wp:effectExtent l="0" t="0" r="9525" b="6350"/>
            <wp:wrapNone/>
            <wp:docPr id="8" name="图片 8" descr="160266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2663218(1)"/>
                    <pic:cNvPicPr>
                      <a:picLocks noChangeAspect="1"/>
                    </pic:cNvPicPr>
                  </pic:nvPicPr>
                  <pic:blipFill>
                    <a:blip r:embed="rId13"/>
                    <a:stretch>
                      <a:fillRect/>
                    </a:stretch>
                  </pic:blipFill>
                  <pic:spPr>
                    <a:xfrm>
                      <a:off x="0" y="0"/>
                      <a:ext cx="333375" cy="469900"/>
                    </a:xfrm>
                    <a:prstGeom prst="rect">
                      <a:avLst/>
                    </a:prstGeom>
                  </pic:spPr>
                </pic:pic>
              </a:graphicData>
            </a:graphic>
          </wp:anchor>
        </w:drawing>
      </w:r>
      <w:r>
        <w:rPr>
          <w:rFonts w:cs="Times New Roman"/>
          <w:color w:val="auto"/>
          <w:lang w:val="en-US"/>
        </w:rPr>
        <w:pict>
          <v:shape id="_x0000_s1030" o:spid="_x0000_s1030" o:spt="61" type="#_x0000_t61" style="position:absolute;left:0pt;margin-left:24.5pt;margin-top:259.2pt;height:21.7pt;width:74.7pt;z-index:267952128;v-text-anchor:middle;mso-width-relative:page;mso-height-relative:page;" filled="f" stroked="t" coordsize="21600,21600" o:gfxdata="UEsDBAoAAAAAAIdO4kAAAAAAAAAAAAAAAAAEAAAAZHJzL1BLAwQUAAAACACHTuJAc2I9AtoAAAAK&#10;AQAADwAAAGRycy9kb3ducmV2LnhtbE2PwU7DMBBE70j8g7VI3KiTEKo0jVOhSr0gISBFqEc3XpII&#10;ex3ZblP4epwT3HZ3RrNvqs3FaHZG5wdLAtJFAgyptWqgTsD7fndXAPNBkpLaEgr4Rg+b+vqqkqWy&#10;E73huQkdiyHkSymgD2EsOfdtj0b6hR2RovZpnZEhrq7jyskphhvNsyRZciMHih96OeK2x/arORkB&#10;z839Nj9kfveytz86fDxOmXt6FeL2Jk3WwAJewp8ZZvyIDnVkOtoTKc+0gHwVqwQBD2mRA5sNq3k4&#10;xssyLYDXFf9fof4FUEsDBBQAAAAIAIdO4kC7z37RxQIAAGkFAAAOAAAAZHJzL2Uyb0RvYy54bWyt&#10;VM1uEzEQviPxDpbv7f6QND/qpooSFSFVtKIgzo7Xu2vkP2wnm/IcXBGCG6ciceLA47TwGIy92zYU&#10;Dj2Qw2bGM/5m5psZHx5tpUAbZh3XqsDZfooRU1SXXNUFfvXyeG+MkfNElURoxQp8wRw+mj1+dNia&#10;Kct1o0XJLAIQ5aatKXDjvZkmiaMNk8Tta8MUGCttJfGg2jopLWkBXYokT9ODpNW2NFZT5hycLjsj&#10;7hHtQwB1VXHKlpquJVO+Q7VMEA8luYYbh2cx26pi1J9WlWMeiQJDpT5+IQjIq/BNZodkWltiGk77&#10;FMhDUrhXkyRcQdBbqCXxBK0t/wtKcmq105Xfp1omXSGREagiS+9xc94Qw2ItQLUzt6S7/wdLn2/O&#10;LOIlTEKaDzBSRELPry6//7r8cP31/fW3T1P08+OXqx+fUXQAvlrjpnDt3JzZXnMghuK3lZXhH8pC&#10;28jxxS3HbOsRhcPJYHwwAfYpmPLRcAgyoCR3l411/inTEgWhwC0ra/YC+rggQui1jyyTzYnzke6y&#10;z5iUbzKMKimgexsi0PDJKJ/03d3xyXd99vLsIB0P+vg9JmRyk0EIoPQxFyJOiVCoBZryURrSJzD6&#10;FYwciNIAfU7VGBFRw05Rb2OWTgtehusByNl6tRAWQXIFHmSjbLLonBpSsu50mMKvz6Z3j8z8gROS&#10;WxLXdFeiqStTcg97Kbgs8DgA3SAJBSChZ12XguS3q23fupUuL2AArO42wxl6zCHCCXH+jFggE2qF&#10;x8KfwqcSGgjQvYRRo+27f50Hf5hQsGLUwmoBOW/XxDKMxDMFszvJBgOA9VEZDEc5KHbXstq1qLVc&#10;aOAM2gvZRTH4e3EjVlbL1/CmzENUMBFFIXbXhl5Z+G7l4VWibD6PbrB/hvgTdW5oAO+aPV97XXEf&#10;JjIQ1bHTK7CBsR39axFWfFePXncv5O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c2I9AtoAAAAK&#10;AQAADwAAAAAAAAABACAAAAAiAAAAZHJzL2Rvd25yZXYueG1sUEsBAhQAFAAAAAgAh07iQLvPftHF&#10;AgAAaQUAAA4AAAAAAAAAAQAgAAAAKQEAAGRycy9lMm9Eb2MueG1sUEsFBgAAAAAGAAYAWQEAAGAG&#10;AAAAAA==&#10;" adj="22405,-35874">
            <v:path/>
            <v:fill on="f" focussize="0,0"/>
            <v:stroke weight="1pt" color="#41719C" miterlimit="8" joinstyle="miter"/>
            <v:imagedata o:title=""/>
            <o:lock v:ext="edit" aspectratio="f"/>
            <v:textbox>
              <w:txbxContent>
                <w:p>
                  <w:pPr>
                    <w:pStyle w:val="31"/>
                    <w:rPr>
                      <w:b/>
                      <w:bCs/>
                      <w:color w:val="FF0000"/>
                      <w:lang w:val="en-US"/>
                    </w:rPr>
                  </w:pPr>
                  <w:r>
                    <w:rPr>
                      <w:rFonts w:hint="eastAsia"/>
                      <w:b/>
                      <w:bCs/>
                      <w:color w:val="FF0000"/>
                      <w:lang w:val="en-US"/>
                    </w:rPr>
                    <w:t>知识城</w:t>
                  </w:r>
                </w:p>
              </w:txbxContent>
            </v:textbox>
          </v:shape>
        </w:pict>
      </w:r>
      <w:r>
        <w:rPr>
          <w:rFonts w:cs="Times New Roman"/>
          <w:color w:val="auto"/>
        </w:rPr>
        <w:drawing>
          <wp:anchor distT="0" distB="0" distL="114300" distR="114300" simplePos="0" relativeHeight="267953152" behindDoc="0" locked="0" layoutInCell="1" allowOverlap="1">
            <wp:simplePos x="0" y="0"/>
            <wp:positionH relativeFrom="column">
              <wp:posOffset>1713865</wp:posOffset>
            </wp:positionH>
            <wp:positionV relativeFrom="paragraph">
              <wp:posOffset>3559810</wp:posOffset>
            </wp:positionV>
            <wp:extent cx="3496945" cy="2505075"/>
            <wp:effectExtent l="0" t="0" r="8255" b="9525"/>
            <wp:wrapNone/>
            <wp:docPr id="9" name="图片 9" descr="159894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8948540(1)"/>
                    <pic:cNvPicPr>
                      <a:picLocks noChangeAspect="1"/>
                    </pic:cNvPicPr>
                  </pic:nvPicPr>
                  <pic:blipFill>
                    <a:blip r:embed="rId15"/>
                    <a:stretch>
                      <a:fillRect/>
                    </a:stretch>
                  </pic:blipFill>
                  <pic:spPr>
                    <a:xfrm>
                      <a:off x="0" y="0"/>
                      <a:ext cx="3496945" cy="2505075"/>
                    </a:xfrm>
                    <a:prstGeom prst="rect">
                      <a:avLst/>
                    </a:prstGeom>
                  </pic:spPr>
                </pic:pic>
              </a:graphicData>
            </a:graphic>
          </wp:anchor>
        </w:drawing>
      </w:r>
      <w:r>
        <w:rPr>
          <w:rFonts w:cs="Times New Roman"/>
          <w:color w:val="auto"/>
          <w:lang w:val="en-US"/>
        </w:rPr>
        <w:pict>
          <v:shape id="对话气泡: 矩形 125" o:spid="_x0000_s1031" o:spt="61" type="#_x0000_t61" style="position:absolute;left:0pt;flip:y;margin-left:131.85pt;margin-top:280.4pt;height:199.55pt;width:280.15pt;z-index:267951104;v-text-anchor:middle;mso-width-relative:page;mso-height-relative:page;" filled="f" stroked="t" coordsize="21600,21600" o:gfxdata="UEsDBAoAAAAAAIdO4kAAAAAAAAAAAAAAAAAEAAAAZHJzL1BLAwQUAAAACACHTuJAJAenK9oAAAAL&#10;AQAADwAAAGRycy9kb3ducmV2LnhtbE2Py06EQBBF9yb+Q6dM3BinG3RwQJpZ+Ii6cDGj7gsogdgP&#10;Qvcw+PeWK11W6ubec8rtYo2YaQqDdxqSlQJBrvHt4DoN72+PlxsQIaJr0XhHGr4pwLY6PSmxaP3R&#10;7Wjex05wiQsFauhjHAspQ9OTxbDyIzn+ffrJYuRz6mQ74ZHLrZGpUpm0ODhe6HGku56ar/3Bamg+&#10;8CGZ7032nC71xdOyU6/qRWl9fpaoWxCRlvgXhl98RoeKmWp/cG0QRkOaXd1wVMM6U+zAiU16zXa1&#10;hnyd5yCrUv53qH4AUEsDBBQAAAAIAIdO4kBwF+eizgIAAHMFAAAOAAAAZHJzL2Uyb0RvYy54bWyt&#10;VM1uEzEQviPxDpbv7f4kadqomypKVIRU0Yryc3a83l0j/2E72ZTn4IoQ3DgViRMHHqeFx2Ds3ZSo&#10;cOiBPaxmPONvZr6Z8fHJRgq0ZtZxrQqc7acYMUV1yVVd4JcvTvcOMXKeqJIIrViBr5jDJ9PHj45b&#10;M2G5brQomUUAotykNQVuvDeTJHG0YZK4fW2YAmOlrSQeVFsnpSUtoEuR5Gl6kLTalsZqypyD00Vn&#10;xD2ifQigripO2ULTlWTKd6iWCeKhJNdw4/A0ZltVjPrzqnLMI1FgqNTHPwQBeRn+yfSYTGpLTMNp&#10;nwJ5SAr3apKEKwh6B7UgnqCV5X9BSU6tdrry+1TLpCskMgJVZOk9bi4bYlisBah25o509/9g6bP1&#10;hUW8hEnIRxgpIqHlN9fff11/uP36/vbbpwn6+fHLzY/PKNiBrda4CVy6NBe21xyIofRNZSWqBDev&#10;ACySAeWhTeT66o5rtvGIwuFgNBofpRCSgi0fDYb5YcRPOqAAaKzzT5iWKAgFbllZs+fQ0TkRQq98&#10;DEHWZ85H4ss+eVK+yTCqpIA+rolAe8NBOhr3jd5xynedsnxwkG3j95iQyTaDEEDpUy5EnBehUBsI&#10;G6cwRpTAElQwfCBKA0Q6VWNERA3bRb2NWToteBmuByBn6+VcWATJFXiYjbOjeefUkJJ1p6MUvpAy&#10;5NC7d/IuTkhuQVzTXYkhuiol97ChgssCHwagLZJQABL613UsSH6z3PRtXOryCkbB6m5HnKGnHCKc&#10;EecviAUyoVZ4Nvw5/CqhgQDdSxg12r7713nwh1kFK0YtLBmQ83ZFLMNIPFUwxUfZcBi2MirD0TgH&#10;xe5alrsWtZJzDZxBeyG7KAZ/L7ZiZbV8Da/LLEQFE1EUYndt6JW575Yf3ifKZrPoBptoiD9Tl4Zu&#10;J1fp2crrivvQg0BUx06vwC7GdvTvRlj2XT16/Xkrp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AenK9oAAAALAQAADwAAAAAAAAABACAAAAAiAAAAZHJzL2Rvd25yZXYueG1sUEsBAhQAFAAAAAgA&#10;h07iQHAX56LOAgAAcwUAAA4AAAAAAAAAAQAgAAAAKQEAAGRycy9lMm9Eb2MueG1sUEsFBgAAAAAG&#10;AAYAWQEAAGkGAAAAAA==&#10;" adj="1500,37501">
            <v:path/>
            <v:fill on="f" focussize="0,0"/>
            <v:stroke weight="1pt" color="#41719C" miterlimit="8" joinstyle="miter"/>
            <v:imagedata o:title=""/>
            <o:lock v:ext="edit" aspectratio="f"/>
            <v:textbox>
              <w:txbxContent>
                <w:p>
                  <w:pPr>
                    <w:pStyle w:val="31"/>
                    <w:ind w:firstLine="482"/>
                    <w:rPr>
                      <w:b/>
                      <w:bCs/>
                      <w:color w:val="FF0000"/>
                    </w:rPr>
                  </w:pPr>
                  <w:r>
                    <w:rPr>
                      <w:rFonts w:hint="eastAsia"/>
                      <w:b/>
                      <w:bCs/>
                      <w:color w:val="FF0000"/>
                    </w:rPr>
                    <w:t>规划区范围</w:t>
                  </w:r>
                </w:p>
              </w:txbxContent>
            </v:textbox>
          </v:shape>
        </w:pict>
      </w:r>
      <w:r>
        <w:rPr>
          <w:rFonts w:cs="Times New Roman"/>
          <w:color w:val="auto"/>
          <w:lang w:val="en-US"/>
        </w:rPr>
        <w:drawing>
          <wp:inline distT="0" distB="0" distL="114300" distR="114300">
            <wp:extent cx="5162550" cy="6086475"/>
            <wp:effectExtent l="0" t="0" r="0" b="9525"/>
            <wp:docPr id="10" name="图片 10" descr="159894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8948345(1)"/>
                    <pic:cNvPicPr>
                      <a:picLocks noChangeAspect="1"/>
                    </pic:cNvPicPr>
                  </pic:nvPicPr>
                  <pic:blipFill>
                    <a:blip r:embed="rId14"/>
                    <a:stretch>
                      <a:fillRect/>
                    </a:stretch>
                  </pic:blipFill>
                  <pic:spPr>
                    <a:xfrm>
                      <a:off x="0" y="0"/>
                      <a:ext cx="5162550" cy="6086475"/>
                    </a:xfrm>
                    <a:prstGeom prst="rect">
                      <a:avLst/>
                    </a:prstGeom>
                  </pic:spPr>
                </pic:pic>
              </a:graphicData>
            </a:graphic>
          </wp:inline>
        </w:drawing>
      </w:r>
    </w:p>
    <w:p>
      <w:pPr>
        <w:ind w:firstLine="0" w:firstLineChars="0"/>
        <w:jc w:val="center"/>
        <w:rPr>
          <w:b/>
          <w:bCs/>
          <w:color w:val="auto"/>
        </w:rPr>
      </w:pPr>
      <w:r>
        <w:rPr>
          <w:rFonts w:hint="eastAsia"/>
          <w:b/>
          <w:bCs/>
          <w:color w:val="auto"/>
        </w:rPr>
        <w:t>图1.2-1规划范围图</w:t>
      </w:r>
    </w:p>
    <w:p>
      <w:pPr>
        <w:ind w:left="0" w:leftChars="0" w:firstLine="0" w:firstLineChars="0"/>
        <w:rPr>
          <w:color w:val="auto"/>
        </w:rPr>
        <w:sectPr>
          <w:footerReference r:id="rId11" w:type="default"/>
          <w:pgSz w:w="11906" w:h="16838"/>
          <w:pgMar w:top="1440" w:right="1800" w:bottom="1440" w:left="1800" w:header="851" w:footer="992" w:gutter="0"/>
          <w:pgNumType w:start="1"/>
          <w:cols w:space="425" w:num="1"/>
          <w:docGrid w:type="lines" w:linePitch="312" w:charSpace="0"/>
        </w:sectPr>
      </w:pPr>
    </w:p>
    <w:p>
      <w:pPr>
        <w:pStyle w:val="19"/>
        <w:rPr>
          <w:color w:val="auto"/>
        </w:rPr>
      </w:pPr>
    </w:p>
    <w:p>
      <w:pPr>
        <w:ind w:firstLine="562"/>
        <w:outlineLvl w:val="3"/>
        <w:rPr>
          <w:b/>
          <w:color w:val="auto"/>
          <w:sz w:val="28"/>
          <w:szCs w:val="28"/>
        </w:rPr>
      </w:pPr>
      <w:r>
        <w:rPr>
          <w:rFonts w:hint="eastAsia"/>
          <w:b/>
          <w:color w:val="auto"/>
          <w:sz w:val="28"/>
          <w:szCs w:val="28"/>
        </w:rPr>
        <w:t>2．发展目标定位</w:t>
      </w:r>
    </w:p>
    <w:p>
      <w:pPr>
        <w:ind w:left="-147" w:right="-360" w:rightChars="-150" w:firstLine="480"/>
        <w:rPr>
          <w:color w:val="auto"/>
        </w:rPr>
      </w:pPr>
      <w:r>
        <w:rPr>
          <w:rFonts w:hint="eastAsia"/>
          <w:color w:val="auto"/>
          <w:lang w:val="en-US" w:eastAsia="zh-CN"/>
        </w:rPr>
        <w:t>规划区发展定位为</w:t>
      </w:r>
      <w:r>
        <w:rPr>
          <w:color w:val="auto"/>
        </w:rPr>
        <w:t>新能源产业研发生产基地。根据新能源产业“市场调研-理论研究-产品研发-调整调试-产品生产”的产业流程，划分产业孵化、研发、实验室、产业办公、综合服务区、中试生产车间等功能。</w:t>
      </w:r>
    </w:p>
    <w:p>
      <w:pPr>
        <w:ind w:firstLine="480"/>
        <w:rPr>
          <w:rFonts w:hAnsi="方正仿宋简体"/>
          <w:color w:val="auto"/>
        </w:rPr>
      </w:pPr>
      <w:r>
        <w:rPr>
          <w:color w:val="auto"/>
        </w:rPr>
        <w:t>控规调整实施后，规划区拟进驻的建设项目主要为宝能汽车广州研究院项目。宝能汽车广州研究院项目定位为：为宝能汽车开发“中高端新能源汽车”产品。聚焦新能源汽车产品研发，具备完整的新能源车型正向开发能力（包含纯电动、增程式及插电式混动、燃料电池等），并在新能源动力总成及智能网联等领域的开发和应用形成核心竞争能力。预计在2025年满足纯电、混动全新车型的开发及近5000人的研发人员规模，拟建设内容包括：整车开发、智能网联、试验、试制、造型中心等。</w:t>
      </w:r>
      <w:r>
        <w:rPr>
          <w:rFonts w:hint="eastAsia" w:hAnsi="方正仿宋简体"/>
          <w:color w:val="auto"/>
        </w:rPr>
        <w:t>。</w:t>
      </w:r>
    </w:p>
    <w:p>
      <w:pPr>
        <w:ind w:firstLine="562"/>
        <w:outlineLvl w:val="3"/>
        <w:rPr>
          <w:b/>
          <w:color w:val="auto"/>
          <w:sz w:val="28"/>
          <w:szCs w:val="28"/>
        </w:rPr>
      </w:pPr>
      <w:r>
        <w:rPr>
          <w:rFonts w:hint="eastAsia"/>
          <w:b/>
          <w:color w:val="auto"/>
          <w:sz w:val="28"/>
          <w:szCs w:val="28"/>
        </w:rPr>
        <w:t>3．发展规模</w:t>
      </w:r>
    </w:p>
    <w:p>
      <w:pPr>
        <w:ind w:firstLine="480"/>
        <w:rPr>
          <w:rFonts w:hAnsi="仿宋_GB2312"/>
          <w:color w:val="auto"/>
        </w:rPr>
      </w:pPr>
      <w:r>
        <w:rPr>
          <w:rFonts w:hint="eastAsia" w:hAnsi="仿宋_GB2312"/>
          <w:color w:val="auto"/>
        </w:rPr>
        <w:t>（1）建设用地规模</w:t>
      </w:r>
    </w:p>
    <w:p>
      <w:pPr>
        <w:ind w:firstLine="480"/>
        <w:rPr>
          <w:color w:val="auto"/>
        </w:rPr>
      </w:pPr>
      <w:r>
        <w:rPr>
          <w:rFonts w:hint="eastAsia" w:hAnsi="仿宋_GB2312"/>
          <w:color w:val="auto"/>
        </w:rPr>
        <w:t>规划建设用地规模按</w:t>
      </w:r>
      <w:r>
        <w:rPr>
          <w:rFonts w:hint="eastAsia" w:hAnsi="仿宋_GB2312"/>
          <w:color w:val="auto"/>
          <w:lang w:val="en-US" w:eastAsia="zh-CN"/>
        </w:rPr>
        <w:t>70339m</w:t>
      </w:r>
      <w:r>
        <w:rPr>
          <w:rFonts w:hint="eastAsia" w:hAnsi="仿宋_GB2312"/>
          <w:color w:val="auto"/>
          <w:vertAlign w:val="superscript"/>
          <w:lang w:val="en-US" w:eastAsia="zh-CN"/>
        </w:rPr>
        <w:t>2</w:t>
      </w:r>
      <w:r>
        <w:rPr>
          <w:rFonts w:hint="eastAsia" w:hAnsi="仿宋_GB2312"/>
          <w:color w:val="auto"/>
        </w:rPr>
        <w:t>控制，</w:t>
      </w:r>
      <w:r>
        <w:rPr>
          <w:color w:val="auto"/>
        </w:rPr>
        <w:t>规划区总建设规模在350000平方米左右。</w:t>
      </w:r>
    </w:p>
    <w:p>
      <w:pPr>
        <w:ind w:firstLine="480"/>
        <w:rPr>
          <w:rFonts w:hAnsi="仿宋_GB2312"/>
          <w:color w:val="auto"/>
        </w:rPr>
      </w:pPr>
      <w:r>
        <w:rPr>
          <w:rFonts w:hint="eastAsia" w:hAnsi="仿宋_GB2312"/>
          <w:color w:val="auto"/>
        </w:rPr>
        <w:t>（2）人口规模</w:t>
      </w:r>
    </w:p>
    <w:p>
      <w:pPr>
        <w:ind w:firstLine="480"/>
        <w:rPr>
          <w:color w:val="auto"/>
        </w:rPr>
      </w:pPr>
      <w:r>
        <w:rPr>
          <w:color w:val="auto"/>
        </w:rPr>
        <w:t>本次控规调整实施后，规划区用地类型均为新型产业用地，拟进驻的建设项目主要为宝能汽车广州研究院项目，预计形成近5000人的研发人员规模。</w:t>
      </w:r>
    </w:p>
    <w:p>
      <w:pPr>
        <w:ind w:firstLine="0" w:firstLineChars="0"/>
        <w:outlineLvl w:val="2"/>
        <w:rPr>
          <w:b/>
          <w:color w:val="auto"/>
          <w:sz w:val="28"/>
          <w:szCs w:val="28"/>
        </w:rPr>
      </w:pPr>
      <w:r>
        <w:rPr>
          <w:b/>
          <w:color w:val="auto"/>
          <w:sz w:val="28"/>
          <w:szCs w:val="28"/>
        </w:rPr>
        <w:t>1.2.3</w:t>
      </w:r>
      <w:r>
        <w:rPr>
          <w:rFonts w:hint="eastAsia"/>
          <w:b/>
          <w:color w:val="auto"/>
          <w:sz w:val="28"/>
          <w:szCs w:val="28"/>
        </w:rPr>
        <w:t>用地布局</w:t>
      </w:r>
    </w:p>
    <w:p>
      <w:pPr>
        <w:ind w:firstLine="0" w:firstLineChars="0"/>
        <w:outlineLvl w:val="3"/>
        <w:rPr>
          <w:b/>
          <w:color w:val="auto"/>
          <w:sz w:val="28"/>
          <w:szCs w:val="28"/>
        </w:rPr>
      </w:pPr>
      <w:r>
        <w:rPr>
          <w:b/>
          <w:color w:val="auto"/>
          <w:sz w:val="28"/>
          <w:szCs w:val="28"/>
        </w:rPr>
        <w:t>1.2.3.1</w:t>
      </w:r>
      <w:r>
        <w:rPr>
          <w:rFonts w:hint="eastAsia"/>
          <w:b/>
          <w:color w:val="auto"/>
          <w:sz w:val="28"/>
          <w:szCs w:val="28"/>
        </w:rPr>
        <w:t>空间结构</w:t>
      </w:r>
    </w:p>
    <w:p>
      <w:pPr>
        <w:ind w:firstLine="480"/>
        <w:rPr>
          <w:rFonts w:hAnsi="仿宋_GB2312"/>
          <w:color w:val="auto"/>
        </w:rPr>
      </w:pPr>
      <w:r>
        <w:rPr>
          <w:color w:val="auto"/>
        </w:rPr>
        <w:t>建筑组群依据西南-东北朝向的地形退台而布置，主朝向向西南方的河涌景观，中央部分围合出完整的大庭院。东侧是研发试验区；北侧为综合服务区，南侧为中试生产区，西侧为产业运营区。</w:t>
      </w:r>
    </w:p>
    <w:p>
      <w:pPr>
        <w:ind w:firstLine="480"/>
        <w:rPr>
          <w:rFonts w:hint="eastAsia" w:eastAsia="宋体"/>
          <w:color w:val="auto"/>
          <w:lang w:eastAsia="zh-CN"/>
        </w:rPr>
      </w:pPr>
      <w:r>
        <w:rPr>
          <w:rFonts w:cs="Times New Roman"/>
          <w:color w:val="auto"/>
        </w:rPr>
        <w:drawing>
          <wp:anchor distT="0" distB="0" distL="114300" distR="114300" simplePos="0" relativeHeight="252107776" behindDoc="0" locked="0" layoutInCell="1" allowOverlap="1">
            <wp:simplePos x="0" y="0"/>
            <wp:positionH relativeFrom="column">
              <wp:posOffset>284480</wp:posOffset>
            </wp:positionH>
            <wp:positionV relativeFrom="paragraph">
              <wp:posOffset>-53975</wp:posOffset>
            </wp:positionV>
            <wp:extent cx="836295" cy="775335"/>
            <wp:effectExtent l="0" t="0" r="1905" b="5715"/>
            <wp:wrapNone/>
            <wp:docPr id="5"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41"/>
                    <pic:cNvPicPr>
                      <a:picLocks noChangeAspect="1"/>
                    </pic:cNvPicPr>
                  </pic:nvPicPr>
                  <pic:blipFill>
                    <a:blip r:embed="rId16" cstate="print"/>
                    <a:srcRect/>
                    <a:stretch>
                      <a:fillRect/>
                    </a:stretch>
                  </pic:blipFill>
                  <pic:spPr>
                    <a:xfrm>
                      <a:off x="0" y="0"/>
                      <a:ext cx="836295" cy="775335"/>
                    </a:xfrm>
                    <a:prstGeom prst="rect">
                      <a:avLst/>
                    </a:prstGeom>
                    <a:noFill/>
                    <a:ln>
                      <a:noFill/>
                    </a:ln>
                  </pic:spPr>
                </pic:pic>
              </a:graphicData>
            </a:graphic>
          </wp:anchor>
        </w:drawing>
      </w:r>
      <w:r>
        <w:rPr>
          <w:rFonts w:cs="Times New Roman"/>
          <w:color w:val="auto"/>
        </w:rPr>
        <w:drawing>
          <wp:inline distT="0" distB="0" distL="0" distR="0">
            <wp:extent cx="5233670" cy="3696335"/>
            <wp:effectExtent l="0" t="0" r="5080" b="18415"/>
            <wp:docPr id="40" name="图片 40" descr="1599644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9964448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3670" cy="3696335"/>
                    </a:xfrm>
                    <a:prstGeom prst="rect">
                      <a:avLst/>
                    </a:prstGeom>
                    <a:noFill/>
                    <a:ln>
                      <a:noFill/>
                    </a:ln>
                  </pic:spPr>
                </pic:pic>
              </a:graphicData>
            </a:graphic>
          </wp:inline>
        </w:drawing>
      </w:r>
    </w:p>
    <w:p>
      <w:pPr>
        <w:ind w:firstLine="0" w:firstLineChars="0"/>
        <w:jc w:val="center"/>
        <w:rPr>
          <w:b/>
          <w:bCs/>
          <w:color w:val="auto"/>
        </w:rPr>
      </w:pPr>
      <w:r>
        <w:rPr>
          <w:rFonts w:hint="eastAsia"/>
          <w:b/>
          <w:bCs/>
          <w:color w:val="auto"/>
        </w:rPr>
        <w:t>图1.2-2功能布局结构图</w:t>
      </w:r>
    </w:p>
    <w:p>
      <w:pPr>
        <w:ind w:firstLine="0" w:firstLineChars="0"/>
        <w:outlineLvl w:val="3"/>
        <w:rPr>
          <w:b/>
          <w:color w:val="auto"/>
          <w:sz w:val="28"/>
          <w:szCs w:val="28"/>
        </w:rPr>
      </w:pPr>
      <w:r>
        <w:rPr>
          <w:b/>
          <w:color w:val="auto"/>
          <w:sz w:val="28"/>
          <w:szCs w:val="28"/>
        </w:rPr>
        <w:t>1.2.3.2</w:t>
      </w:r>
      <w:r>
        <w:rPr>
          <w:rFonts w:hint="eastAsia"/>
          <w:b/>
          <w:color w:val="auto"/>
          <w:sz w:val="28"/>
          <w:szCs w:val="28"/>
        </w:rPr>
        <w:t>土地利用规划</w:t>
      </w:r>
    </w:p>
    <w:p>
      <w:pPr>
        <w:ind w:firstLine="480"/>
        <w:jc w:val="left"/>
        <w:rPr>
          <w:color w:val="auto"/>
        </w:rPr>
      </w:pPr>
      <w:r>
        <w:rPr>
          <w:color w:val="auto"/>
        </w:rPr>
        <w:t>控规调整后调整</w:t>
      </w:r>
      <w:r>
        <w:rPr>
          <w:color w:val="auto"/>
          <w:lang w:val="zh-CN"/>
        </w:rPr>
        <w:t>范围内总用地面积</w:t>
      </w:r>
      <w:r>
        <w:rPr>
          <w:color w:val="auto"/>
        </w:rPr>
        <w:t>约7</w:t>
      </w:r>
      <w:r>
        <w:rPr>
          <w:color w:val="auto"/>
          <w:lang w:val="zh-CN"/>
        </w:rPr>
        <w:t>公顷，</w:t>
      </w:r>
      <w:r>
        <w:rPr>
          <w:color w:val="auto"/>
        </w:rPr>
        <w:t>均为新型产业用地</w:t>
      </w:r>
      <w:r>
        <w:rPr>
          <w:rFonts w:hint="eastAsia"/>
          <w:color w:val="auto"/>
        </w:rPr>
        <w:t>。</w:t>
      </w:r>
    </w:p>
    <w:p>
      <w:pPr>
        <w:ind w:firstLine="0" w:firstLineChars="0"/>
        <w:jc w:val="left"/>
        <w:rPr>
          <w:color w:val="auto"/>
        </w:rPr>
      </w:pPr>
      <w:r>
        <w:rPr>
          <w:color w:val="auto"/>
        </w:rPr>
        <w:drawing>
          <wp:inline distT="0" distB="0" distL="0" distR="0">
            <wp:extent cx="4805680" cy="2684780"/>
            <wp:effectExtent l="0" t="0" r="13970" b="1270"/>
            <wp:docPr id="39" name="图片 39" descr="1599644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996447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05680" cy="2684780"/>
                    </a:xfrm>
                    <a:prstGeom prst="rect">
                      <a:avLst/>
                    </a:prstGeom>
                    <a:noFill/>
                    <a:ln>
                      <a:noFill/>
                    </a:ln>
                  </pic:spPr>
                </pic:pic>
              </a:graphicData>
            </a:graphic>
          </wp:inline>
        </w:drawing>
      </w:r>
    </w:p>
    <w:p>
      <w:pPr>
        <w:ind w:firstLine="0" w:firstLineChars="0"/>
        <w:jc w:val="center"/>
        <w:rPr>
          <w:color w:val="auto"/>
        </w:rPr>
      </w:pPr>
      <w:r>
        <w:rPr>
          <w:rFonts w:hint="eastAsia"/>
          <w:b/>
          <w:bCs/>
          <w:color w:val="auto"/>
        </w:rPr>
        <w:t>图1.2-</w:t>
      </w:r>
      <w:r>
        <w:rPr>
          <w:rFonts w:hint="eastAsia"/>
          <w:b/>
          <w:bCs/>
          <w:color w:val="auto"/>
          <w:lang w:val="en-US" w:eastAsia="zh-CN"/>
        </w:rPr>
        <w:t>3</w:t>
      </w:r>
      <w:r>
        <w:rPr>
          <w:rFonts w:hint="eastAsia"/>
          <w:b/>
          <w:bCs/>
          <w:color w:val="auto"/>
        </w:rPr>
        <w:t>土地利用规划图</w:t>
      </w:r>
    </w:p>
    <w:p>
      <w:pPr>
        <w:spacing w:beforeLines="-2147483648" w:afterLines="-2147483648"/>
        <w:ind w:firstLine="0" w:firstLineChars="0"/>
        <w:jc w:val="left"/>
        <w:outlineLvl w:val="9"/>
        <w:rPr>
          <w:rFonts w:hint="eastAsia"/>
          <w:b/>
          <w:color w:val="auto"/>
          <w:sz w:val="32"/>
          <w:szCs w:val="32"/>
        </w:rPr>
      </w:pPr>
      <w:r>
        <w:rPr>
          <w:rFonts w:hint="eastAsia"/>
          <w:b/>
          <w:color w:val="auto"/>
          <w:sz w:val="32"/>
          <w:szCs w:val="32"/>
        </w:rPr>
        <w:br w:type="page"/>
      </w:r>
    </w:p>
    <w:p>
      <w:pPr>
        <w:spacing w:beforeLines="100" w:afterLines="100"/>
        <w:ind w:firstLine="0" w:firstLineChars="0"/>
        <w:jc w:val="center"/>
        <w:outlineLvl w:val="0"/>
        <w:rPr>
          <w:b/>
          <w:color w:val="auto"/>
          <w:sz w:val="32"/>
          <w:szCs w:val="32"/>
        </w:rPr>
      </w:pPr>
      <w:bookmarkStart w:id="3" w:name="_Toc31063"/>
      <w:r>
        <w:rPr>
          <w:rFonts w:hint="eastAsia"/>
          <w:b/>
          <w:color w:val="auto"/>
          <w:sz w:val="32"/>
          <w:szCs w:val="32"/>
        </w:rPr>
        <w:t>2环境现状调查与评价</w:t>
      </w:r>
      <w:bookmarkEnd w:id="3"/>
    </w:p>
    <w:p>
      <w:pPr>
        <w:spacing w:before="156" w:beforeLines="50" w:after="156" w:afterLines="50"/>
        <w:ind w:firstLine="0" w:firstLineChars="0"/>
        <w:outlineLvl w:val="1"/>
        <w:rPr>
          <w:b/>
          <w:color w:val="auto"/>
          <w:sz w:val="28"/>
          <w:szCs w:val="28"/>
        </w:rPr>
      </w:pPr>
      <w:bookmarkStart w:id="4" w:name="_Toc27705"/>
      <w:r>
        <w:rPr>
          <w:rFonts w:hint="eastAsia"/>
          <w:b/>
          <w:color w:val="auto"/>
          <w:sz w:val="28"/>
          <w:szCs w:val="28"/>
        </w:rPr>
        <w:t>2.1</w:t>
      </w:r>
      <w:r>
        <w:rPr>
          <w:b/>
          <w:color w:val="auto"/>
          <w:sz w:val="28"/>
          <w:szCs w:val="28"/>
        </w:rPr>
        <w:t>自然环境</w:t>
      </w:r>
      <w:bookmarkEnd w:id="4"/>
    </w:p>
    <w:p>
      <w:pPr>
        <w:ind w:firstLine="480"/>
        <w:rPr>
          <w:color w:val="auto"/>
        </w:rPr>
      </w:pPr>
      <w:r>
        <w:rPr>
          <w:color w:val="auto"/>
        </w:rPr>
        <w:t>广州市地势由东北向西南倾斜，依次为山地、中低山地与丘陵、台地与平原三级。知识城规划区现状地形以丘陵台地为主，是西福河谷地带的低谷冲积平原，地势东西高中间低。中部平原地区区域标高30～40m，且平原区分布着众多小山包，标高50～60m不等，东西两侧山体高度120～250m不等。山丘表层为砖红壤性红土，基岩以花岗岩居多，工程地质条件较好。地表湿地密布，地下水储量较丰富。境内还分布有泥炭土、稀土、瓷土、软木等矿产资源。</w:t>
      </w:r>
    </w:p>
    <w:p>
      <w:pPr>
        <w:ind w:firstLine="480"/>
        <w:rPr>
          <w:color w:val="auto"/>
        </w:rPr>
      </w:pPr>
      <w:r>
        <w:rPr>
          <w:rFonts w:hint="eastAsia"/>
          <w:color w:val="auto"/>
        </w:rPr>
        <w:t>知识城自然植被属于南亚热带绿阔叶林带，但因长期受人类活动干扰，现存植被皆为次生林，而且大多数为人工种植的马尾松林。植物区系成分简单，种类贫乏。据初步调查，常见种类只有114种，分属于44科。种植物种除荔枝、柑橙、蕉等水果外，还有少量水稻田和稍多的蔬菜、花卉地，种类以菜心、青菜、苦麦菜、番茄、枸杞、黄瓜、冬瓜、丝瓜、玫瑰、菊等为多。</w:t>
      </w:r>
    </w:p>
    <w:p>
      <w:pPr>
        <w:spacing w:before="156" w:beforeLines="50" w:after="156" w:afterLines="50"/>
        <w:ind w:firstLine="0" w:firstLineChars="0"/>
        <w:outlineLvl w:val="1"/>
        <w:rPr>
          <w:b/>
          <w:bCs/>
          <w:color w:val="auto"/>
          <w:sz w:val="28"/>
          <w:szCs w:val="28"/>
        </w:rPr>
      </w:pPr>
      <w:bookmarkStart w:id="5" w:name="_Toc32130"/>
      <w:r>
        <w:rPr>
          <w:rFonts w:hint="eastAsia"/>
          <w:b/>
          <w:bCs/>
          <w:color w:val="auto"/>
          <w:sz w:val="28"/>
          <w:szCs w:val="28"/>
        </w:rPr>
        <w:t>2.2</w:t>
      </w:r>
      <w:r>
        <w:rPr>
          <w:b/>
          <w:bCs/>
          <w:color w:val="auto"/>
          <w:sz w:val="28"/>
          <w:szCs w:val="28"/>
        </w:rPr>
        <w:t>环境质量</w:t>
      </w:r>
      <w:bookmarkEnd w:id="5"/>
    </w:p>
    <w:p>
      <w:pPr>
        <w:adjustRightInd w:val="0"/>
        <w:ind w:firstLine="480"/>
        <w:rPr>
          <w:color w:val="auto"/>
        </w:rPr>
      </w:pPr>
      <w:r>
        <w:rPr>
          <w:color w:val="auto"/>
        </w:rPr>
        <w:t>（1）大气环境</w:t>
      </w:r>
    </w:p>
    <w:p>
      <w:pPr>
        <w:ind w:firstLine="480"/>
        <w:rPr>
          <w:color w:val="auto"/>
        </w:rPr>
      </w:pPr>
      <w:r>
        <w:rPr>
          <w:rFonts w:hint="eastAsia"/>
          <w:color w:val="auto"/>
        </w:rPr>
        <w:t>根据</w:t>
      </w:r>
      <w:r>
        <w:rPr>
          <w:color w:val="auto"/>
        </w:rPr>
        <w:t>2014-2019年《广州市环境质量状况公报》</w:t>
      </w:r>
      <w:r>
        <w:rPr>
          <w:rFonts w:hint="eastAsia"/>
          <w:color w:val="auto"/>
        </w:rPr>
        <w:t>，</w:t>
      </w:r>
      <w:r>
        <w:rPr>
          <w:color w:val="auto"/>
        </w:rPr>
        <w:t>黄埔区SO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年平均质量浓度、CO95百分位数日平均质量浓度和O390百分位数日最大8小时平均质量浓度可达到《环境空气质量标准》（GB3095-3012）及2018年修改单中二级标准要求</w:t>
      </w:r>
      <w:r>
        <w:rPr>
          <w:rFonts w:hint="eastAsia"/>
          <w:color w:val="auto"/>
        </w:rPr>
        <w:t>，达标率为100%；2014-2015年，广州市环境空气质量不达标因子为NO</w:t>
      </w:r>
      <w:r>
        <w:rPr>
          <w:rFonts w:hint="eastAsia"/>
          <w:color w:val="auto"/>
          <w:vertAlign w:val="subscript"/>
        </w:rPr>
        <w:t>2</w:t>
      </w:r>
      <w:r>
        <w:rPr>
          <w:rFonts w:hint="eastAsia"/>
          <w:color w:val="auto"/>
        </w:rPr>
        <w:t>、PM</w:t>
      </w:r>
      <w:r>
        <w:rPr>
          <w:rFonts w:hint="eastAsia"/>
          <w:color w:val="auto"/>
          <w:vertAlign w:val="subscript"/>
        </w:rPr>
        <w:t>2.5</w:t>
      </w:r>
      <w:r>
        <w:rPr>
          <w:rFonts w:hint="eastAsia"/>
          <w:color w:val="auto"/>
        </w:rPr>
        <w:t>，达标率为80.0%；2016年-2018年，广州市及黄埔区环境空气质量不达标因子为NO</w:t>
      </w:r>
      <w:r>
        <w:rPr>
          <w:rFonts w:hint="eastAsia"/>
          <w:color w:val="auto"/>
          <w:vertAlign w:val="subscript"/>
        </w:rPr>
        <w:t>2</w:t>
      </w:r>
      <w:r>
        <w:rPr>
          <w:rFonts w:hint="eastAsia"/>
          <w:color w:val="auto"/>
        </w:rPr>
        <w:t>，达标率为83.3%；由此可见，黄埔区环境空气质量正逐年改善。</w:t>
      </w:r>
    </w:p>
    <w:p>
      <w:pPr>
        <w:adjustRightInd w:val="0"/>
        <w:ind w:firstLine="480"/>
        <w:rPr>
          <w:color w:val="auto"/>
        </w:rPr>
      </w:pPr>
      <w:r>
        <w:rPr>
          <w:color w:val="auto"/>
        </w:rPr>
        <w:t>（2）地表水环境</w:t>
      </w:r>
    </w:p>
    <w:p>
      <w:pPr>
        <w:adjustRightInd w:val="0"/>
        <w:ind w:firstLine="480"/>
        <w:rPr>
          <w:rFonts w:eastAsiaTheme="minorEastAsia"/>
          <w:color w:val="auto"/>
        </w:rPr>
      </w:pPr>
      <w:r>
        <w:rPr>
          <w:color w:val="auto"/>
        </w:rPr>
        <w:t>规划区污水排入九龙水质净化一厂，纳污水体为凤凰河，水质目标为IV类，受纳水体近3年的水环境质量数据，监测数据引用</w:t>
      </w:r>
      <w:bookmarkStart w:id="6" w:name="_Hlk51686425"/>
      <w:r>
        <w:rPr>
          <w:color w:val="auto"/>
        </w:rPr>
        <w:t>2017年-2019年《广州开发区国家生态工业示范园区环境报告书》</w:t>
      </w:r>
      <w:bookmarkEnd w:id="6"/>
      <w:r>
        <w:rPr>
          <w:color w:val="auto"/>
        </w:rPr>
        <w:t>。2017年-2018年，凤凰河不满足《地表水环境质量标准》（GB3838-2002）中IV类标准；2019年凤凰河断面各水质监测因子均满足《地表水环境质量标准》（GB3838-2002）中IV类标准，表明凤凰河水质逐年提升。</w:t>
      </w:r>
    </w:p>
    <w:p>
      <w:pPr>
        <w:adjustRightInd w:val="0"/>
        <w:ind w:firstLine="480"/>
        <w:rPr>
          <w:color w:val="auto"/>
        </w:rPr>
      </w:pPr>
      <w:r>
        <w:rPr>
          <w:color w:val="auto"/>
        </w:rPr>
        <w:t>（3）声环境</w:t>
      </w:r>
    </w:p>
    <w:p>
      <w:pPr>
        <w:ind w:firstLine="480"/>
        <w:rPr>
          <w:color w:val="auto"/>
          <w:kern w:val="0"/>
        </w:rPr>
        <w:sectPr>
          <w:pgSz w:w="11906" w:h="16838"/>
          <w:pgMar w:top="1440" w:right="1800" w:bottom="1440" w:left="1800" w:header="851" w:footer="992" w:gutter="0"/>
          <w:cols w:space="425" w:num="1"/>
          <w:docGrid w:type="lines" w:linePitch="312" w:charSpace="0"/>
        </w:sectPr>
      </w:pPr>
      <w:r>
        <w:rPr>
          <w:color w:val="auto"/>
          <w:kern w:val="0"/>
        </w:rPr>
        <w:t>规划区各功能区监测点的昼间及夜间声级值均能满足《声环境质量标准》（GB3096-2008）相应的的标准要求。</w:t>
      </w:r>
    </w:p>
    <w:p>
      <w:pPr>
        <w:spacing w:beforeLines="100" w:afterLines="100"/>
        <w:ind w:firstLine="0" w:firstLineChars="0"/>
        <w:jc w:val="center"/>
        <w:outlineLvl w:val="0"/>
        <w:rPr>
          <w:b/>
          <w:color w:val="auto"/>
          <w:sz w:val="32"/>
          <w:szCs w:val="32"/>
        </w:rPr>
      </w:pPr>
      <w:bookmarkStart w:id="7" w:name="_Toc18058"/>
      <w:r>
        <w:rPr>
          <w:rFonts w:hint="eastAsia"/>
          <w:b/>
          <w:color w:val="auto"/>
          <w:sz w:val="32"/>
          <w:szCs w:val="32"/>
        </w:rPr>
        <w:t>3环境影响预测与分析</w:t>
      </w:r>
      <w:bookmarkEnd w:id="7"/>
    </w:p>
    <w:p>
      <w:pPr>
        <w:adjustRightInd w:val="0"/>
        <w:spacing w:beforeLines="50" w:afterLines="50"/>
        <w:ind w:firstLine="0" w:firstLineChars="0"/>
        <w:jc w:val="left"/>
        <w:outlineLvl w:val="1"/>
        <w:rPr>
          <w:rFonts w:cs="宋体"/>
          <w:b/>
          <w:color w:val="auto"/>
          <w:sz w:val="28"/>
          <w:szCs w:val="28"/>
        </w:rPr>
      </w:pPr>
      <w:bookmarkStart w:id="8" w:name="_Toc1208"/>
      <w:r>
        <w:rPr>
          <w:rFonts w:hint="eastAsia" w:cs="宋体"/>
          <w:b/>
          <w:color w:val="auto"/>
          <w:sz w:val="28"/>
          <w:szCs w:val="28"/>
        </w:rPr>
        <w:t>3.</w:t>
      </w:r>
      <w:r>
        <w:rPr>
          <w:rFonts w:cs="宋体"/>
          <w:b/>
          <w:color w:val="auto"/>
          <w:sz w:val="28"/>
          <w:szCs w:val="28"/>
        </w:rPr>
        <w:t>1</w:t>
      </w:r>
      <w:r>
        <w:rPr>
          <w:rFonts w:hint="eastAsia" w:cs="宋体"/>
          <w:b/>
          <w:color w:val="auto"/>
          <w:sz w:val="28"/>
          <w:szCs w:val="28"/>
        </w:rPr>
        <w:t>地表水环境影响分析</w:t>
      </w:r>
      <w:bookmarkEnd w:id="8"/>
    </w:p>
    <w:p>
      <w:pPr>
        <w:adjustRightInd w:val="0"/>
        <w:ind w:firstLine="480"/>
        <w:jc w:val="left"/>
        <w:rPr>
          <w:rFonts w:ascii="宋体" w:hAnsi="宋体" w:cs="宋体"/>
          <w:color w:val="auto"/>
        </w:rPr>
      </w:pPr>
      <w:r>
        <w:rPr>
          <w:rFonts w:hint="eastAsia" w:ascii="宋体" w:hAnsi="宋体" w:cs="宋体"/>
          <w:color w:val="auto"/>
        </w:rPr>
        <w:t>完善污水管网后，规划区内污水经收集后经市政污水管网送至</w:t>
      </w:r>
      <w:r>
        <w:rPr>
          <w:color w:val="auto"/>
        </w:rPr>
        <w:t>九龙水质净化一厂</w:t>
      </w:r>
      <w:r>
        <w:rPr>
          <w:rFonts w:hint="eastAsia" w:ascii="宋体" w:hAnsi="宋体" w:cs="宋体"/>
          <w:color w:val="auto"/>
        </w:rPr>
        <w:t>处理达标后排放，尾水排放至</w:t>
      </w:r>
      <w:r>
        <w:rPr>
          <w:rFonts w:hint="eastAsia" w:ascii="宋体" w:hAnsi="宋体" w:cs="宋体"/>
          <w:color w:val="auto"/>
          <w:lang w:val="en-US" w:eastAsia="zh-CN"/>
        </w:rPr>
        <w:t>凤凰河</w:t>
      </w:r>
      <w:r>
        <w:rPr>
          <w:rFonts w:hint="eastAsia" w:ascii="宋体" w:hAnsi="宋体" w:cs="宋体"/>
          <w:color w:val="auto"/>
        </w:rPr>
        <w:t>。规划实施后，随着区内污水管网逐渐完善，废污水全部收集至污水厂处理并外排</w:t>
      </w:r>
      <w:r>
        <w:rPr>
          <w:rFonts w:hint="eastAsia" w:ascii="宋体" w:hAnsi="宋体" w:cs="宋体"/>
          <w:color w:val="auto"/>
          <w:lang w:eastAsia="zh-CN"/>
        </w:rPr>
        <w:t>凤凰河</w:t>
      </w:r>
      <w:r>
        <w:rPr>
          <w:rFonts w:hint="eastAsia" w:ascii="宋体" w:hAnsi="宋体" w:cs="宋体"/>
          <w:color w:val="auto"/>
        </w:rPr>
        <w:t>，规划区内河涌及河网水质总体将趋于改善，同时对纳污水体</w:t>
      </w:r>
      <w:r>
        <w:rPr>
          <w:rFonts w:hint="eastAsia" w:ascii="宋体" w:hAnsi="宋体" w:cs="宋体"/>
          <w:color w:val="auto"/>
          <w:lang w:eastAsia="zh-CN"/>
        </w:rPr>
        <w:t>凤凰河</w:t>
      </w:r>
      <w:r>
        <w:rPr>
          <w:rFonts w:hint="eastAsia" w:ascii="宋体" w:hAnsi="宋体" w:cs="宋体"/>
          <w:color w:val="auto"/>
        </w:rPr>
        <w:t>的影响在可接受范围内。</w:t>
      </w:r>
    </w:p>
    <w:p>
      <w:pPr>
        <w:adjustRightInd w:val="0"/>
        <w:spacing w:beforeLines="50" w:afterLines="50"/>
        <w:ind w:firstLine="0" w:firstLineChars="0"/>
        <w:jc w:val="left"/>
        <w:outlineLvl w:val="1"/>
        <w:rPr>
          <w:rFonts w:ascii="宋体" w:hAnsi="宋体" w:cs="宋体"/>
          <w:b/>
          <w:color w:val="auto"/>
          <w:sz w:val="28"/>
          <w:szCs w:val="28"/>
        </w:rPr>
      </w:pPr>
      <w:bookmarkStart w:id="9" w:name="_Toc3724"/>
      <w:r>
        <w:rPr>
          <w:rFonts w:hint="eastAsia" w:cs="宋体"/>
          <w:b/>
          <w:color w:val="auto"/>
          <w:sz w:val="28"/>
          <w:szCs w:val="28"/>
        </w:rPr>
        <w:t>3.</w:t>
      </w:r>
      <w:r>
        <w:rPr>
          <w:rFonts w:cs="宋体"/>
          <w:b/>
          <w:color w:val="auto"/>
          <w:sz w:val="28"/>
          <w:szCs w:val="28"/>
        </w:rPr>
        <w:t>2</w:t>
      </w:r>
      <w:r>
        <w:rPr>
          <w:rFonts w:hint="eastAsia" w:cs="宋体"/>
          <w:b/>
          <w:color w:val="auto"/>
          <w:sz w:val="28"/>
          <w:szCs w:val="28"/>
        </w:rPr>
        <w:t>地下水环境影响分析</w:t>
      </w:r>
      <w:bookmarkEnd w:id="9"/>
    </w:p>
    <w:p>
      <w:pPr>
        <w:adjustRightInd w:val="0"/>
        <w:ind w:firstLine="480"/>
        <w:jc w:val="left"/>
        <w:rPr>
          <w:rFonts w:ascii="宋体" w:hAnsi="宋体" w:cs="宋体"/>
          <w:color w:val="auto"/>
        </w:rPr>
      </w:pPr>
      <w:r>
        <w:rPr>
          <w:rFonts w:hint="eastAsia" w:ascii="宋体" w:hAnsi="宋体" w:cs="宋体"/>
          <w:color w:val="auto"/>
        </w:rPr>
        <w:t>规划区各企业废水泄露基本可控，对地下水环境影响不大。但要求规划区内各建设单位履行环境保护职责，切实落实好生产车间、危险物质储存仓库、企业自建废水处理站</w:t>
      </w:r>
      <w:r>
        <w:rPr>
          <w:rFonts w:hint="eastAsia" w:ascii="宋体" w:hAnsi="宋体" w:cs="宋体"/>
          <w:color w:val="auto"/>
          <w:lang w:val="en-US" w:eastAsia="zh-CN"/>
        </w:rPr>
        <w:t>等</w:t>
      </w:r>
      <w:r>
        <w:rPr>
          <w:rFonts w:hint="eastAsia" w:ascii="宋体" w:hAnsi="宋体" w:cs="宋体"/>
          <w:color w:val="auto"/>
        </w:rPr>
        <w:t>的地面硬化及防渗层措施。</w:t>
      </w:r>
    </w:p>
    <w:p>
      <w:pPr>
        <w:adjustRightInd w:val="0"/>
        <w:spacing w:beforeLines="50" w:afterLines="50"/>
        <w:ind w:firstLine="0" w:firstLineChars="0"/>
        <w:jc w:val="left"/>
        <w:outlineLvl w:val="1"/>
        <w:rPr>
          <w:rFonts w:cs="宋体"/>
          <w:b/>
          <w:color w:val="auto"/>
          <w:sz w:val="28"/>
          <w:szCs w:val="28"/>
        </w:rPr>
      </w:pPr>
      <w:bookmarkStart w:id="10" w:name="_Toc13162"/>
      <w:r>
        <w:rPr>
          <w:rFonts w:hint="eastAsia" w:cs="宋体"/>
          <w:b/>
          <w:color w:val="auto"/>
          <w:sz w:val="28"/>
          <w:szCs w:val="28"/>
        </w:rPr>
        <w:t>3.</w:t>
      </w:r>
      <w:r>
        <w:rPr>
          <w:rFonts w:cs="宋体"/>
          <w:b/>
          <w:color w:val="auto"/>
          <w:sz w:val="28"/>
          <w:szCs w:val="28"/>
        </w:rPr>
        <w:t>3</w:t>
      </w:r>
      <w:r>
        <w:rPr>
          <w:rFonts w:hint="eastAsia" w:cs="宋体"/>
          <w:b/>
          <w:color w:val="auto"/>
          <w:sz w:val="28"/>
          <w:szCs w:val="28"/>
        </w:rPr>
        <w:t>大气环境影响分析</w:t>
      </w:r>
      <w:bookmarkEnd w:id="10"/>
    </w:p>
    <w:p>
      <w:pPr>
        <w:adjustRightInd w:val="0"/>
        <w:ind w:firstLine="480"/>
        <w:jc w:val="left"/>
        <w:rPr>
          <w:rFonts w:ascii="宋体" w:hAnsi="宋体" w:cs="宋体"/>
          <w:color w:val="auto"/>
        </w:rPr>
      </w:pPr>
      <w:r>
        <w:rPr>
          <w:rFonts w:hint="eastAsia" w:ascii="宋体" w:hAnsi="宋体" w:cs="宋体"/>
          <w:color w:val="auto"/>
        </w:rPr>
        <w:t>规划实施后区内大气环境</w:t>
      </w:r>
      <w:r>
        <w:rPr>
          <w:rFonts w:hint="eastAsia" w:ascii="宋体" w:hAnsi="宋体" w:cs="宋体"/>
          <w:color w:val="auto"/>
          <w:lang w:val="en-US" w:eastAsia="zh-CN"/>
        </w:rPr>
        <w:t>污染源主要包括</w:t>
      </w:r>
      <w:r>
        <w:rPr>
          <w:color w:val="auto"/>
        </w:rPr>
        <w:t>工业源、生活源和交通源</w:t>
      </w:r>
      <w:r>
        <w:rPr>
          <w:rFonts w:hint="eastAsia" w:ascii="宋体" w:hAnsi="宋体" w:cs="宋体"/>
          <w:color w:val="auto"/>
        </w:rPr>
        <w:t>。</w:t>
      </w:r>
    </w:p>
    <w:p>
      <w:pPr>
        <w:adjustRightInd w:val="0"/>
        <w:ind w:firstLine="480"/>
        <w:jc w:val="left"/>
        <w:rPr>
          <w:rFonts w:ascii="宋体" w:hAnsi="宋体" w:cs="宋体"/>
          <w:color w:val="auto"/>
        </w:rPr>
      </w:pPr>
      <w:r>
        <w:rPr>
          <w:rFonts w:hint="eastAsia" w:ascii="宋体" w:hAnsi="宋体" w:cs="宋体"/>
          <w:color w:val="auto"/>
        </w:rPr>
        <w:t>为有效防止污染，规划区内各企业应采用先进生产工艺，严格生产管理，采取有效的污染防治措施，减少工艺废气的排放；采用天然气或电等清洁能源作为热源，以保护区内的环境空气质量。</w:t>
      </w:r>
    </w:p>
    <w:p>
      <w:pPr>
        <w:adjustRightInd w:val="0"/>
        <w:ind w:firstLine="480"/>
        <w:jc w:val="left"/>
        <w:rPr>
          <w:rFonts w:ascii="宋体" w:hAnsi="宋体" w:cs="宋体"/>
          <w:color w:val="auto"/>
        </w:rPr>
      </w:pPr>
      <w:r>
        <w:rPr>
          <w:rFonts w:hint="eastAsia" w:ascii="宋体" w:hAnsi="宋体" w:cs="宋体"/>
          <w:color w:val="auto"/>
        </w:rPr>
        <w:t>同时，在今后开发过程中，规划区应严格准入门槛，加强环境监管。在此基础上，预计规划实施对规划区及周围大气环境产生的影响在可接受范围内。</w:t>
      </w:r>
    </w:p>
    <w:p>
      <w:pPr>
        <w:adjustRightInd w:val="0"/>
        <w:spacing w:beforeLines="50" w:afterLines="50"/>
        <w:ind w:firstLine="0" w:firstLineChars="0"/>
        <w:jc w:val="left"/>
        <w:outlineLvl w:val="1"/>
        <w:rPr>
          <w:rFonts w:cs="宋体"/>
          <w:b/>
          <w:color w:val="auto"/>
          <w:sz w:val="28"/>
          <w:szCs w:val="28"/>
        </w:rPr>
      </w:pPr>
      <w:bookmarkStart w:id="11" w:name="_Toc3957"/>
      <w:r>
        <w:rPr>
          <w:rFonts w:hint="eastAsia" w:cs="宋体"/>
          <w:b/>
          <w:color w:val="auto"/>
          <w:sz w:val="28"/>
          <w:szCs w:val="28"/>
        </w:rPr>
        <w:t>3.</w:t>
      </w:r>
      <w:r>
        <w:rPr>
          <w:rFonts w:cs="宋体"/>
          <w:b/>
          <w:color w:val="auto"/>
          <w:sz w:val="28"/>
          <w:szCs w:val="28"/>
        </w:rPr>
        <w:t>4</w:t>
      </w:r>
      <w:r>
        <w:rPr>
          <w:rFonts w:hint="eastAsia" w:cs="宋体"/>
          <w:b/>
          <w:color w:val="auto"/>
          <w:sz w:val="28"/>
          <w:szCs w:val="28"/>
        </w:rPr>
        <w:t>声环境影响分析</w:t>
      </w:r>
      <w:bookmarkEnd w:id="11"/>
    </w:p>
    <w:p>
      <w:pPr>
        <w:adjustRightInd w:val="0"/>
        <w:ind w:firstLine="480"/>
        <w:jc w:val="left"/>
        <w:rPr>
          <w:rFonts w:ascii="宋体" w:hAnsi="宋体" w:cs="宋体"/>
          <w:color w:val="auto"/>
        </w:rPr>
      </w:pPr>
      <w:r>
        <w:rPr>
          <w:rFonts w:hint="eastAsia" w:ascii="宋体" w:hAnsi="宋体" w:cs="宋体"/>
          <w:color w:val="auto"/>
        </w:rPr>
        <w:t>规划实施后区内主要噪声源来自工业、交通、建筑施工、物料运输和社会生活等方面。针对规划区污染特点而言，噪声影响一般远小于废气、废水等污染物排放的对周围环境的影响，但由于规划区内有</w:t>
      </w:r>
      <w:r>
        <w:rPr>
          <w:rFonts w:hint="eastAsia" w:ascii="宋体" w:hAnsi="宋体" w:cs="宋体"/>
          <w:color w:val="auto"/>
          <w:lang w:val="en-US" w:eastAsia="zh-CN"/>
        </w:rPr>
        <w:t>汽车试验、试制</w:t>
      </w:r>
      <w:r>
        <w:rPr>
          <w:rFonts w:hint="eastAsia" w:ascii="宋体" w:hAnsi="宋体" w:cs="宋体"/>
          <w:color w:val="auto"/>
        </w:rPr>
        <w:t>及其配套</w:t>
      </w:r>
      <w:r>
        <w:rPr>
          <w:rFonts w:hint="eastAsia" w:ascii="宋体" w:hAnsi="宋体" w:cs="宋体"/>
          <w:color w:val="auto"/>
          <w:lang w:val="en-US" w:eastAsia="zh-CN"/>
        </w:rPr>
        <w:t>服务</w:t>
      </w:r>
      <w:r>
        <w:rPr>
          <w:rFonts w:hint="eastAsia" w:ascii="宋体" w:hAnsi="宋体" w:cs="宋体"/>
          <w:color w:val="auto"/>
        </w:rPr>
        <w:t>区域相对集中，因此应加强对该区域的噪声控制。为确保规划区内噪声功能区达标，入驻企业前期应优化厂区及车间布局，同时应采取相应隔声降噪措施，确保自身厂界噪声达标。只要按照规划要求采取一定的工程和管理措施进行控制，噪声影响可以控制在允许范围之内。</w:t>
      </w:r>
    </w:p>
    <w:p>
      <w:pPr>
        <w:adjustRightInd w:val="0"/>
        <w:spacing w:beforeLines="50" w:afterLines="50"/>
        <w:ind w:firstLine="0" w:firstLineChars="0"/>
        <w:jc w:val="left"/>
        <w:outlineLvl w:val="1"/>
        <w:rPr>
          <w:rFonts w:cs="宋体"/>
          <w:b/>
          <w:color w:val="auto"/>
          <w:sz w:val="28"/>
          <w:szCs w:val="28"/>
        </w:rPr>
      </w:pPr>
      <w:bookmarkStart w:id="12" w:name="_Toc9808"/>
      <w:r>
        <w:rPr>
          <w:rFonts w:hint="eastAsia" w:cs="宋体"/>
          <w:b/>
          <w:color w:val="auto"/>
          <w:sz w:val="28"/>
          <w:szCs w:val="28"/>
        </w:rPr>
        <w:t>3.</w:t>
      </w:r>
      <w:r>
        <w:rPr>
          <w:rFonts w:cs="宋体"/>
          <w:b/>
          <w:color w:val="auto"/>
          <w:sz w:val="28"/>
          <w:szCs w:val="28"/>
        </w:rPr>
        <w:t>5</w:t>
      </w:r>
      <w:r>
        <w:rPr>
          <w:rFonts w:hint="eastAsia" w:cs="宋体"/>
          <w:b/>
          <w:color w:val="auto"/>
          <w:sz w:val="28"/>
          <w:szCs w:val="28"/>
        </w:rPr>
        <w:t>固废环境影响分析</w:t>
      </w:r>
      <w:bookmarkEnd w:id="12"/>
    </w:p>
    <w:p>
      <w:pPr>
        <w:adjustRightInd w:val="0"/>
        <w:ind w:firstLine="480"/>
        <w:jc w:val="left"/>
        <w:rPr>
          <w:rFonts w:ascii="宋体" w:hAnsi="宋体" w:cs="宋体"/>
          <w:color w:val="auto"/>
        </w:rPr>
      </w:pPr>
      <w:r>
        <w:rPr>
          <w:rFonts w:hint="eastAsia" w:ascii="宋体" w:hAnsi="宋体" w:cs="宋体"/>
          <w:color w:val="auto"/>
        </w:rPr>
        <w:t>规划实施后区内固体废弃物主要来自工业企业产生的生产固废，包括一般工业固废、危险废物，以及员工办公的生活垃圾。</w:t>
      </w:r>
    </w:p>
    <w:p>
      <w:pPr>
        <w:adjustRightInd w:val="0"/>
        <w:ind w:firstLine="480"/>
        <w:jc w:val="left"/>
        <w:rPr>
          <w:rFonts w:ascii="宋体" w:hAnsi="宋体" w:cs="宋体"/>
          <w:color w:val="auto"/>
        </w:rPr>
      </w:pPr>
      <w:r>
        <w:rPr>
          <w:rFonts w:hint="eastAsia" w:ascii="宋体" w:hAnsi="宋体" w:cs="宋体"/>
          <w:color w:val="auto"/>
        </w:rPr>
        <w:t>对于一般工业固废，各企业应根据废物性质进行分类收集、安全储存，采取回收、处置和综合利用；危险废物应委托有资质的单位集中处置，对危废进行有效控制后，将不会对环境产生二次污染。在规划实施过程中，区内企业必须加强清洁生产，从源头削减固废产生量，同时加强工业固废资源化利用，减少固废堆存量。</w:t>
      </w:r>
    </w:p>
    <w:p>
      <w:pPr>
        <w:adjustRightInd w:val="0"/>
        <w:ind w:firstLine="480"/>
        <w:jc w:val="left"/>
        <w:rPr>
          <w:rFonts w:ascii="宋体" w:hAnsi="宋体" w:cs="宋体"/>
          <w:color w:val="auto"/>
        </w:rPr>
      </w:pPr>
      <w:r>
        <w:rPr>
          <w:rFonts w:hint="eastAsia" w:ascii="宋体" w:hAnsi="宋体" w:cs="宋体"/>
          <w:color w:val="auto"/>
        </w:rPr>
        <w:t>规划区内生活垃圾实行分类收集，并由当地环卫部门统一清运，经上述措施后，规划区产生的固体废物对周围环境影响不大。</w:t>
      </w:r>
    </w:p>
    <w:p>
      <w:pPr>
        <w:adjustRightInd w:val="0"/>
        <w:spacing w:beforeLines="50" w:afterLines="50"/>
        <w:ind w:firstLine="0" w:firstLineChars="0"/>
        <w:jc w:val="left"/>
        <w:outlineLvl w:val="1"/>
        <w:rPr>
          <w:b/>
          <w:color w:val="auto"/>
          <w:sz w:val="28"/>
          <w:szCs w:val="28"/>
        </w:rPr>
      </w:pPr>
      <w:bookmarkStart w:id="13" w:name="_Toc32757"/>
      <w:r>
        <w:rPr>
          <w:b/>
          <w:color w:val="auto"/>
          <w:sz w:val="28"/>
          <w:szCs w:val="28"/>
        </w:rPr>
        <w:t>3.6生态环境影响分析</w:t>
      </w:r>
      <w:bookmarkEnd w:id="13"/>
    </w:p>
    <w:p>
      <w:pPr>
        <w:adjustRightInd w:val="0"/>
        <w:ind w:firstLine="480"/>
        <w:jc w:val="left"/>
        <w:rPr>
          <w:rFonts w:ascii="宋体" w:hAnsi="宋体" w:cs="宋体"/>
          <w:color w:val="auto"/>
        </w:rPr>
      </w:pPr>
      <w:r>
        <w:rPr>
          <w:rFonts w:hint="eastAsia" w:ascii="宋体" w:hAnsi="宋体" w:cs="宋体"/>
          <w:color w:val="auto"/>
        </w:rPr>
        <w:t>规划区内及周边不涉及自然保护区、风景名胜区以及生态公益林、古树名木、珍稀濒危保护物种等保护目标。规划区的开发建设将会造成土地利用的变更，同时对区域内的陆域生态和水生生态系统造成一定的影响，带来一定的水土流失，改变区域景观格局。规划区通过优化布局、环保基础设施建设、河道整治和生态绿化的建设将不利影响降低到最低程度，基本保证物种稳定性、景观稳定性、人居生态环境等方面的质量不降低。</w:t>
      </w:r>
    </w:p>
    <w:p>
      <w:pPr>
        <w:adjustRightInd w:val="0"/>
        <w:spacing w:beforeLines="50" w:afterLines="50"/>
        <w:ind w:firstLine="0" w:firstLineChars="0"/>
        <w:jc w:val="left"/>
        <w:outlineLvl w:val="1"/>
        <w:rPr>
          <w:b/>
          <w:color w:val="auto"/>
          <w:sz w:val="28"/>
          <w:szCs w:val="28"/>
        </w:rPr>
      </w:pPr>
      <w:bookmarkStart w:id="14" w:name="_Toc31445"/>
      <w:r>
        <w:rPr>
          <w:rFonts w:hint="eastAsia"/>
          <w:b/>
          <w:color w:val="auto"/>
          <w:sz w:val="28"/>
          <w:szCs w:val="28"/>
        </w:rPr>
        <w:t>3.7社会经济影响分析</w:t>
      </w:r>
      <w:bookmarkEnd w:id="14"/>
    </w:p>
    <w:p>
      <w:pPr>
        <w:adjustRightInd w:val="0"/>
        <w:ind w:firstLine="480"/>
        <w:jc w:val="left"/>
        <w:rPr>
          <w:rFonts w:ascii="宋体" w:hAnsi="宋体" w:cs="宋体"/>
          <w:color w:val="auto"/>
        </w:rPr>
      </w:pPr>
      <w:r>
        <w:rPr>
          <w:rFonts w:hint="eastAsia" w:ascii="宋体" w:hAnsi="宋体" w:cs="宋体"/>
          <w:color w:val="auto"/>
        </w:rPr>
        <w:t>规划区建设过程中将对区域</w:t>
      </w:r>
      <w:r>
        <w:rPr>
          <w:rFonts w:hint="eastAsia" w:ascii="宋体" w:hAnsi="宋体" w:cs="宋体"/>
          <w:color w:val="auto"/>
          <w:lang w:val="en-US" w:eastAsia="zh-CN"/>
        </w:rPr>
        <w:t>周边</w:t>
      </w:r>
      <w:r>
        <w:rPr>
          <w:rFonts w:hint="eastAsia" w:ascii="宋体" w:hAnsi="宋体" w:cs="宋体"/>
          <w:color w:val="auto"/>
        </w:rPr>
        <w:t>可能未搬迁的居民产生不利影响，主要是施工期施工噪声、粉尘带来的不适。规划区建成后，将对区域社会环境产生正效应，主要体现在企业的不断进驻，将带来大量的就业机会，居民收入会得到很大提高，同时从业类型也会发生较大变化。</w:t>
      </w:r>
    </w:p>
    <w:p>
      <w:pPr>
        <w:adjustRightInd w:val="0"/>
        <w:spacing w:beforeLines="50" w:afterLines="50"/>
        <w:ind w:firstLine="0" w:firstLineChars="0"/>
        <w:jc w:val="left"/>
        <w:outlineLvl w:val="1"/>
        <w:rPr>
          <w:b/>
          <w:color w:val="auto"/>
          <w:sz w:val="28"/>
          <w:szCs w:val="28"/>
        </w:rPr>
      </w:pPr>
      <w:bookmarkStart w:id="15" w:name="_Toc2939"/>
      <w:r>
        <w:rPr>
          <w:rFonts w:hint="eastAsia"/>
          <w:b/>
          <w:color w:val="auto"/>
          <w:sz w:val="28"/>
          <w:szCs w:val="28"/>
        </w:rPr>
        <w:t>3.8区域环境风险评价</w:t>
      </w:r>
      <w:bookmarkEnd w:id="15"/>
    </w:p>
    <w:p>
      <w:pPr>
        <w:ind w:firstLine="480"/>
        <w:rPr>
          <w:color w:val="auto"/>
        </w:rPr>
      </w:pPr>
      <w:r>
        <w:rPr>
          <w:rFonts w:hint="eastAsia"/>
          <w:color w:val="auto"/>
        </w:rPr>
        <w:t>规划区范围内总体环境风险不大。若发生事故处理不当，也可能会造成较为严重的后果。因此，区内涉及危险化学品的企业应严格做好风险防范措施，以把各类风险事故率降到最低，并落实好应急预案，把事故的影响、危害进一步降到最低。</w:t>
      </w:r>
    </w:p>
    <w:p>
      <w:pPr>
        <w:ind w:firstLine="480"/>
        <w:rPr>
          <w:rFonts w:ascii="宋体" w:hAnsi="宋体" w:cs="宋体"/>
          <w:color w:val="auto"/>
        </w:rPr>
        <w:sectPr>
          <w:pgSz w:w="11906" w:h="16838"/>
          <w:pgMar w:top="1440" w:right="1800" w:bottom="1440" w:left="1800" w:header="851" w:footer="992" w:gutter="0"/>
          <w:cols w:space="425" w:num="1"/>
          <w:docGrid w:type="lines" w:linePitch="312" w:charSpace="0"/>
        </w:sectPr>
      </w:pPr>
    </w:p>
    <w:p>
      <w:pPr>
        <w:spacing w:beforeLines="100" w:afterLines="100"/>
        <w:ind w:firstLine="0" w:firstLineChars="0"/>
        <w:jc w:val="center"/>
        <w:outlineLvl w:val="0"/>
        <w:rPr>
          <w:b/>
          <w:color w:val="auto"/>
          <w:sz w:val="32"/>
          <w:szCs w:val="32"/>
        </w:rPr>
      </w:pPr>
      <w:bookmarkStart w:id="16" w:name="_Toc19371"/>
      <w:r>
        <w:rPr>
          <w:rFonts w:hint="eastAsia"/>
          <w:b/>
          <w:color w:val="auto"/>
          <w:sz w:val="32"/>
          <w:szCs w:val="32"/>
        </w:rPr>
        <w:t>4规划协调性分析</w:t>
      </w:r>
      <w:bookmarkEnd w:id="16"/>
    </w:p>
    <w:p>
      <w:pPr>
        <w:spacing w:beforeLines="50" w:afterLines="50"/>
        <w:ind w:firstLine="0" w:firstLineChars="0"/>
        <w:outlineLvl w:val="1"/>
        <w:rPr>
          <w:b/>
          <w:color w:val="auto"/>
          <w:sz w:val="28"/>
          <w:szCs w:val="28"/>
        </w:rPr>
      </w:pPr>
      <w:bookmarkStart w:id="17" w:name="_Toc4835"/>
      <w:r>
        <w:rPr>
          <w:rFonts w:hint="eastAsia"/>
          <w:b/>
          <w:color w:val="auto"/>
          <w:sz w:val="28"/>
          <w:szCs w:val="28"/>
        </w:rPr>
        <w:t>4.1</w:t>
      </w:r>
      <w:r>
        <w:rPr>
          <w:b/>
          <w:color w:val="auto"/>
          <w:sz w:val="28"/>
          <w:szCs w:val="28"/>
        </w:rPr>
        <w:t>与相关政策的相符性分析</w:t>
      </w:r>
      <w:bookmarkEnd w:id="17"/>
    </w:p>
    <w:p>
      <w:pPr>
        <w:ind w:firstLine="480"/>
        <w:rPr>
          <w:color w:val="auto"/>
        </w:rPr>
      </w:pPr>
      <w:r>
        <w:rPr>
          <w:color w:val="auto"/>
        </w:rPr>
        <w:t>1</w:t>
      </w:r>
      <w:r>
        <w:rPr>
          <w:rFonts w:hint="eastAsia"/>
          <w:color w:val="auto"/>
        </w:rPr>
        <w:t>．</w:t>
      </w:r>
      <w:r>
        <w:rPr>
          <w:color w:val="auto"/>
        </w:rPr>
        <w:t>与</w:t>
      </w:r>
      <w:r>
        <w:rPr>
          <w:rFonts w:hint="eastAsia"/>
          <w:color w:val="auto"/>
        </w:rPr>
        <w:t>《</w:t>
      </w:r>
      <w:r>
        <w:rPr>
          <w:color w:val="auto"/>
        </w:rPr>
        <w:t>广东省主体功能区划</w:t>
      </w:r>
      <w:r>
        <w:rPr>
          <w:rFonts w:hint="eastAsia"/>
          <w:color w:val="auto"/>
        </w:rPr>
        <w:t>》及相符性分析</w:t>
      </w:r>
    </w:p>
    <w:p>
      <w:pPr>
        <w:ind w:firstLine="480"/>
        <w:rPr>
          <w:color w:val="auto"/>
        </w:rPr>
      </w:pPr>
      <w:r>
        <w:rPr>
          <w:color w:val="auto"/>
        </w:rPr>
        <w:t>本规划区位于广州市黄埔区，属于《广东省主体功能区划》划定的“国家优化开发区—珠三角核心区”，不属于生态红线范围内。</w:t>
      </w:r>
    </w:p>
    <w:p>
      <w:pPr>
        <w:ind w:firstLine="480"/>
        <w:rPr>
          <w:color w:val="auto"/>
        </w:rPr>
      </w:pPr>
      <w:r>
        <w:rPr>
          <w:color w:val="auto"/>
        </w:rPr>
        <w:t>2</w:t>
      </w:r>
      <w:r>
        <w:rPr>
          <w:rFonts w:hint="eastAsia"/>
          <w:color w:val="auto"/>
        </w:rPr>
        <w:t>．</w:t>
      </w:r>
      <w:r>
        <w:rPr>
          <w:color w:val="auto"/>
        </w:rPr>
        <w:t>与</w:t>
      </w:r>
      <w:r>
        <w:rPr>
          <w:rFonts w:hint="eastAsia"/>
          <w:color w:val="auto"/>
        </w:rPr>
        <w:t>《广东省主体功能区划配套环保政策》相符性分析</w:t>
      </w:r>
    </w:p>
    <w:p>
      <w:pPr>
        <w:ind w:firstLine="480"/>
        <w:rPr>
          <w:color w:val="auto"/>
        </w:rPr>
      </w:pPr>
      <w:r>
        <w:rPr>
          <w:color w:val="auto"/>
        </w:rPr>
        <w:t>本规划区定位为新能源产业研发生产基地，重点发展新能源汽车研发试验、中试生产、综合服务、产业运营等产业。对照分析，规划区规划调整建设符合《广东省主体功能区划配套环保政策》的相关要求</w:t>
      </w:r>
      <w:r>
        <w:rPr>
          <w:rFonts w:hint="eastAsia"/>
          <w:color w:val="auto"/>
        </w:rPr>
        <w:t>。</w:t>
      </w:r>
    </w:p>
    <w:p>
      <w:pPr>
        <w:spacing w:beforeLines="50" w:afterLines="50"/>
        <w:ind w:firstLine="0" w:firstLineChars="0"/>
        <w:outlineLvl w:val="1"/>
        <w:rPr>
          <w:b/>
          <w:color w:val="auto"/>
          <w:sz w:val="28"/>
          <w:szCs w:val="28"/>
        </w:rPr>
      </w:pPr>
      <w:bookmarkStart w:id="18" w:name="_Toc19275"/>
      <w:r>
        <w:rPr>
          <w:rFonts w:hint="eastAsia"/>
          <w:b/>
          <w:color w:val="auto"/>
          <w:sz w:val="28"/>
          <w:szCs w:val="28"/>
        </w:rPr>
        <w:t>4.2</w:t>
      </w:r>
      <w:r>
        <w:rPr>
          <w:b/>
          <w:color w:val="auto"/>
          <w:sz w:val="28"/>
          <w:szCs w:val="28"/>
        </w:rPr>
        <w:t>与相关规划的相符性分析</w:t>
      </w:r>
      <w:bookmarkEnd w:id="18"/>
    </w:p>
    <w:p>
      <w:pPr>
        <w:ind w:firstLine="480"/>
        <w:rPr>
          <w:color w:val="auto"/>
        </w:rPr>
      </w:pPr>
      <w:r>
        <w:rPr>
          <w:color w:val="auto"/>
        </w:rPr>
        <w:t>1</w:t>
      </w:r>
      <w:r>
        <w:rPr>
          <w:rFonts w:hint="eastAsia"/>
          <w:color w:val="auto"/>
        </w:rPr>
        <w:t>．</w:t>
      </w:r>
      <w:r>
        <w:rPr>
          <w:color w:val="auto"/>
        </w:rPr>
        <w:t>与国民经济和社会发展</w:t>
      </w:r>
      <w:r>
        <w:rPr>
          <w:rFonts w:hint="eastAsia"/>
          <w:color w:val="auto"/>
        </w:rPr>
        <w:t>“第十三五”规划的相符性分析</w:t>
      </w:r>
    </w:p>
    <w:p>
      <w:pPr>
        <w:ind w:firstLine="480"/>
        <w:rPr>
          <w:color w:val="auto"/>
        </w:rPr>
      </w:pPr>
      <w:r>
        <w:rPr>
          <w:rFonts w:hint="eastAsia"/>
          <w:color w:val="auto"/>
        </w:rPr>
        <w:t>本规划区定位为</w:t>
      </w:r>
      <w:r>
        <w:rPr>
          <w:color w:val="auto"/>
        </w:rPr>
        <w:t>新能源产业研发生产基地</w:t>
      </w:r>
      <w:r>
        <w:rPr>
          <w:rFonts w:hint="eastAsia"/>
          <w:color w:val="auto"/>
        </w:rPr>
        <w:t>，重点发展</w:t>
      </w:r>
      <w:r>
        <w:rPr>
          <w:color w:val="auto"/>
        </w:rPr>
        <w:t>新能源汽车研发试验、中试生产、综合服务、产业运营等产业</w:t>
      </w:r>
      <w:r>
        <w:rPr>
          <w:rFonts w:hint="eastAsia"/>
          <w:color w:val="auto"/>
        </w:rPr>
        <w:t>。与《广东省国民经济和社会发展“十三五”规划纲要》、《广州市国民经济和社会发展“第十三五”规划纲要》和《</w:t>
      </w:r>
      <w:r>
        <w:rPr>
          <w:color w:val="auto"/>
        </w:rPr>
        <w:t>广州开发区、黄埔区国民经济和社会发展第十三个五年规划纲要（2016—2020）</w:t>
      </w:r>
      <w:r>
        <w:rPr>
          <w:rFonts w:hint="eastAsia"/>
          <w:color w:val="auto"/>
        </w:rPr>
        <w:t>》相符</w:t>
      </w:r>
      <w:r>
        <w:rPr>
          <w:color w:val="auto"/>
        </w:rPr>
        <w:t>。</w:t>
      </w:r>
    </w:p>
    <w:p>
      <w:pPr>
        <w:ind w:firstLine="480"/>
        <w:rPr>
          <w:color w:val="auto"/>
        </w:rPr>
      </w:pPr>
      <w:r>
        <w:rPr>
          <w:color w:val="auto"/>
        </w:rPr>
        <w:t>2</w:t>
      </w:r>
      <w:r>
        <w:rPr>
          <w:rFonts w:hint="eastAsia"/>
          <w:color w:val="auto"/>
        </w:rPr>
        <w:t>．</w:t>
      </w:r>
      <w:r>
        <w:rPr>
          <w:color w:val="auto"/>
        </w:rPr>
        <w:t>与土地利用规划相符性分析</w:t>
      </w:r>
    </w:p>
    <w:p>
      <w:pPr>
        <w:ind w:firstLine="480"/>
        <w:rPr>
          <w:color w:val="auto"/>
        </w:rPr>
      </w:pPr>
      <w:r>
        <w:rPr>
          <w:color w:val="auto"/>
        </w:rPr>
        <w:t>广州土地利用总体规划图（2006-2020）可知，本规划区位于“允许建设区”，规划区用地不涉及基本农田。</w:t>
      </w:r>
    </w:p>
    <w:p>
      <w:pPr>
        <w:ind w:firstLine="480"/>
        <w:rPr>
          <w:color w:val="auto"/>
        </w:rPr>
      </w:pPr>
      <w:r>
        <w:rPr>
          <w:rFonts w:hint="eastAsia"/>
          <w:color w:val="auto"/>
        </w:rPr>
        <w:t>3．</w:t>
      </w:r>
      <w:r>
        <w:rPr>
          <w:color w:val="auto"/>
        </w:rPr>
        <w:t>与</w:t>
      </w:r>
      <w:r>
        <w:rPr>
          <w:rFonts w:hint="eastAsia"/>
          <w:color w:val="auto"/>
        </w:rPr>
        <w:t>广州市城市总体规划相符性分析</w:t>
      </w:r>
    </w:p>
    <w:p>
      <w:pPr>
        <w:ind w:firstLine="480"/>
        <w:rPr>
          <w:color w:val="auto"/>
        </w:rPr>
      </w:pPr>
      <w:r>
        <w:rPr>
          <w:rFonts w:hint="eastAsia"/>
          <w:color w:val="auto"/>
        </w:rPr>
        <w:t>本规划区定位为</w:t>
      </w:r>
      <w:r>
        <w:rPr>
          <w:color w:val="auto"/>
        </w:rPr>
        <w:t>新能源产业研发生产基地</w:t>
      </w:r>
      <w:r>
        <w:rPr>
          <w:rFonts w:hint="eastAsia"/>
          <w:color w:val="auto"/>
        </w:rPr>
        <w:t>，重点发展</w:t>
      </w:r>
      <w:r>
        <w:rPr>
          <w:color w:val="auto"/>
        </w:rPr>
        <w:t>新能源汽车研发试验、中试生产、综合服务、产业运营等产业</w:t>
      </w:r>
      <w:r>
        <w:rPr>
          <w:rFonts w:hint="eastAsia"/>
          <w:color w:val="auto"/>
        </w:rPr>
        <w:t>，规划区产业规划符合《广州市城市总体规划（2011~2020）》</w:t>
      </w:r>
      <w:r>
        <w:rPr>
          <w:color w:val="auto"/>
        </w:rPr>
        <w:t>。</w:t>
      </w:r>
    </w:p>
    <w:p>
      <w:pPr>
        <w:ind w:firstLine="480"/>
        <w:rPr>
          <w:color w:val="auto"/>
        </w:rPr>
      </w:pPr>
      <w:r>
        <w:rPr>
          <w:rFonts w:hint="eastAsia"/>
          <w:color w:val="auto"/>
        </w:rPr>
        <w:t>4．与中新广州知识城及协同发展区总体规划（2018-2035）》（2019）相符性分析</w:t>
      </w:r>
    </w:p>
    <w:p>
      <w:pPr>
        <w:ind w:firstLine="480"/>
        <w:rPr>
          <w:color w:val="auto"/>
        </w:rPr>
      </w:pPr>
      <w:r>
        <w:rPr>
          <w:rFonts w:hint="eastAsia"/>
          <w:color w:val="auto"/>
        </w:rPr>
        <w:t>规划区发展定位为新能源产业研发生产基地，规划区内主导工业产业为与新能源有关的产业孵化、研发、实验室、产业办公、综合服务、中试生产等。符合《中新广州知识城及协同发展区总体规划（2018-2035）》（2019）。</w:t>
      </w:r>
    </w:p>
    <w:p>
      <w:pPr>
        <w:spacing w:beforeLines="50" w:afterLines="50"/>
        <w:ind w:firstLine="0" w:firstLineChars="0"/>
        <w:outlineLvl w:val="1"/>
        <w:rPr>
          <w:b/>
          <w:color w:val="auto"/>
          <w:sz w:val="28"/>
          <w:szCs w:val="28"/>
        </w:rPr>
      </w:pPr>
      <w:bookmarkStart w:id="19" w:name="_Toc18323"/>
      <w:r>
        <w:rPr>
          <w:b/>
          <w:color w:val="auto"/>
          <w:sz w:val="28"/>
          <w:szCs w:val="28"/>
        </w:rPr>
        <w:t>4.3</w:t>
      </w:r>
      <w:r>
        <w:rPr>
          <w:rFonts w:hint="eastAsia"/>
          <w:b/>
          <w:color w:val="auto"/>
          <w:sz w:val="28"/>
          <w:szCs w:val="28"/>
        </w:rPr>
        <w:t>与环保法规及规划相符性分析</w:t>
      </w:r>
      <w:bookmarkEnd w:id="19"/>
    </w:p>
    <w:p>
      <w:pPr>
        <w:ind w:firstLine="480"/>
        <w:rPr>
          <w:color w:val="auto"/>
        </w:rPr>
      </w:pPr>
      <w:r>
        <w:rPr>
          <w:color w:val="auto"/>
        </w:rPr>
        <w:t>1</w:t>
      </w:r>
      <w:r>
        <w:rPr>
          <w:rFonts w:hint="eastAsia"/>
          <w:color w:val="auto"/>
        </w:rPr>
        <w:t>．与《广东省饮用水源水质保护条例》相符性分析</w:t>
      </w:r>
    </w:p>
    <w:p>
      <w:pPr>
        <w:ind w:firstLine="480"/>
        <w:rPr>
          <w:color w:val="auto"/>
        </w:rPr>
      </w:pPr>
      <w:r>
        <w:rPr>
          <w:rFonts w:cs="Times New Roman"/>
          <w:color w:val="auto"/>
        </w:rPr>
        <w:t>本项目位于广州市黄埔区九佛街知识城，属黄埔区规划土地用地。规划区企业废水处理后进入九龙水质净化一厂处理后达标排放。本项目不在饮用水地表水源保护区，其建设符合《广东省饮用水源水质保护条例》的相关要求</w:t>
      </w:r>
      <w:r>
        <w:rPr>
          <w:color w:val="auto"/>
        </w:rPr>
        <w:t>。</w:t>
      </w:r>
    </w:p>
    <w:p>
      <w:pPr>
        <w:ind w:firstLine="480"/>
        <w:rPr>
          <w:color w:val="auto"/>
        </w:rPr>
      </w:pPr>
      <w:r>
        <w:rPr>
          <w:rFonts w:hint="eastAsia"/>
          <w:color w:val="auto"/>
        </w:rPr>
        <w:t>2．与《南粤水更清行动计划（修订本）》（2017-2020年）相符性分析</w:t>
      </w:r>
    </w:p>
    <w:p>
      <w:pPr>
        <w:ind w:firstLine="480"/>
        <w:rPr>
          <w:color w:val="auto"/>
        </w:rPr>
      </w:pPr>
      <w:r>
        <w:rPr>
          <w:rFonts w:cs="Times New Roman"/>
          <w:color w:val="auto"/>
        </w:rPr>
        <w:t>本项目位于黄埔区九佛街知识城，周围水系为凤凰河，不位于东江、西江、北江和韩江等流域上，规划区位于优化开发区，拟引进新能源汽车研发试验、中试生产、综合服务、产业运营等产业，废水处理后进入九龙水质净化一厂处理后达标排放，九龙水质净化一厂排污口位于凤凰河，符合《南粤水更清行动计划（2017-2020年）》要求</w:t>
      </w:r>
      <w:r>
        <w:rPr>
          <w:rFonts w:hint="eastAsia"/>
          <w:color w:val="auto"/>
        </w:rPr>
        <w:t>。</w:t>
      </w:r>
    </w:p>
    <w:p>
      <w:pPr>
        <w:ind w:firstLine="480"/>
        <w:rPr>
          <w:color w:val="auto"/>
        </w:rPr>
      </w:pPr>
      <w:r>
        <w:rPr>
          <w:color w:val="auto"/>
        </w:rPr>
        <w:t>3</w:t>
      </w:r>
      <w:r>
        <w:rPr>
          <w:rFonts w:hint="eastAsia"/>
          <w:color w:val="auto"/>
        </w:rPr>
        <w:t>．与</w:t>
      </w:r>
      <w:r>
        <w:rPr>
          <w:color w:val="auto"/>
        </w:rPr>
        <w:t>《广州市城市环境总体规划（2014-2030年）》</w:t>
      </w:r>
      <w:r>
        <w:rPr>
          <w:rFonts w:hint="eastAsia"/>
          <w:color w:val="auto"/>
        </w:rPr>
        <w:t>相符性分析</w:t>
      </w:r>
    </w:p>
    <w:p>
      <w:pPr>
        <w:ind w:firstLine="480"/>
        <w:rPr>
          <w:color w:val="auto"/>
        </w:rPr>
      </w:pPr>
      <w:r>
        <w:rPr>
          <w:color w:val="auto"/>
        </w:rPr>
        <w:t>本规划区</w:t>
      </w:r>
      <w:r>
        <w:rPr>
          <w:rFonts w:hint="eastAsia"/>
          <w:color w:val="auto"/>
        </w:rPr>
        <w:t>位于大气污染物增量严控区，根据</w:t>
      </w:r>
      <w:r>
        <w:rPr>
          <w:color w:val="auto"/>
        </w:rPr>
        <w:t>《</w:t>
      </w:r>
      <w:r>
        <w:rPr>
          <w:bCs/>
          <w:color w:val="auto"/>
        </w:rPr>
        <w:t>广州市城市环境总体规划（2014-2030年）》</w:t>
      </w:r>
      <w:r>
        <w:rPr>
          <w:rFonts w:hint="eastAsia"/>
          <w:color w:val="auto"/>
        </w:rPr>
        <w:t>，“大气污染物增量严控区内禁止新建除热电联产以外的煤电项目，禁止新（改、扩）建钢铁、建材、焦化、有色、石化、化工等高污染行业项目；禁止新建20蒸吨／小时以下的燃煤、重油、渣油锅炉及直接燃用生物质锅炉；禁止新建涉及有毒有害气体排放的项目：优先淘汰区域内现存的上述禁止项目。”规划区不涉及禁止项目，符合相关规划。</w:t>
      </w:r>
    </w:p>
    <w:p>
      <w:pPr>
        <w:ind w:firstLine="480"/>
        <w:rPr>
          <w:color w:val="auto"/>
        </w:rPr>
        <w:sectPr>
          <w:pgSz w:w="11906" w:h="16838"/>
          <w:pgMar w:top="1440" w:right="1800" w:bottom="1440" w:left="1800" w:header="851" w:footer="992" w:gutter="0"/>
          <w:cols w:space="425" w:num="1"/>
          <w:docGrid w:type="lines" w:linePitch="312" w:charSpace="0"/>
        </w:sectPr>
      </w:pPr>
    </w:p>
    <w:p>
      <w:pPr>
        <w:spacing w:beforeLines="100" w:afterLines="100"/>
        <w:ind w:firstLine="0" w:firstLineChars="0"/>
        <w:jc w:val="center"/>
        <w:outlineLvl w:val="0"/>
        <w:rPr>
          <w:b/>
          <w:color w:val="auto"/>
          <w:sz w:val="32"/>
          <w:szCs w:val="32"/>
        </w:rPr>
      </w:pPr>
      <w:bookmarkStart w:id="20" w:name="_Toc13102"/>
      <w:r>
        <w:rPr>
          <w:b/>
          <w:color w:val="auto"/>
          <w:sz w:val="32"/>
          <w:szCs w:val="32"/>
        </w:rPr>
        <w:t>5三线一单</w:t>
      </w:r>
      <w:bookmarkEnd w:id="20"/>
    </w:p>
    <w:p>
      <w:pPr>
        <w:ind w:firstLine="480"/>
        <w:rPr>
          <w:color w:val="auto"/>
        </w:rPr>
      </w:pPr>
      <w:r>
        <w:rPr>
          <w:color w:val="auto"/>
        </w:rPr>
        <w:t>原国家环境保护部于2016年2月24日发布了《关于规划环境影响评价加强空间管制、总量管控和环境准入的指导意见（试行）》（环办环评[2016]14号），提出：规划环评应该将空间管制、总量管控和环境准入作为评价成果的重要内容。</w:t>
      </w:r>
    </w:p>
    <w:p>
      <w:pPr>
        <w:ind w:firstLine="480"/>
        <w:rPr>
          <w:color w:val="auto"/>
        </w:rPr>
      </w:pPr>
      <w:r>
        <w:rPr>
          <w:color w:val="auto"/>
        </w:rPr>
        <w:t>原国家环境保护部于2016年5月31日发布了《关于开展产业园区规划环境影响评价清单式管理试点工作的通知》（环办环评[2016]61号），提出：在做好产业园区规划环评工作的基础上，实施产业园区规划环评结论清单式管理，在优化园区城市定位和布局的基础上，制定三张规划环评结论清单，明确空间管制、总量管控和环境准入等具体要求。</w:t>
      </w:r>
    </w:p>
    <w:p>
      <w:pPr>
        <w:ind w:firstLine="480"/>
        <w:rPr>
          <w:color w:val="auto"/>
        </w:rPr>
      </w:pPr>
      <w:r>
        <w:rPr>
          <w:color w:val="auto"/>
        </w:rPr>
        <w:t>原国家环境保护部于2016年7月15日发布《“十三五”环境影响评价改革实施方案》（环环评[2016]95号），提出：以生态保护红线、环境质量底线、资源利用上线和环境准入负面清单（以下简称“三线一单”）为手段，强化空间、总量、准入环境管理。不断强化“三线一单”在优布局、控规模、调结构、促转型中的作用，以及对项目环境准入的强制约束作用。推行规划环评清单式管理。根据改善环境质量目标，制定空间开发规划的生态空间清单和限制开发区域的用途管制清单。制定产业开发规划的产业、工艺环境准入清单。原国家环境保护部于2016年10月26日发布《关于以改善环境质量为核心加强环境影响评价管理的通知》（环环评[2016]150号），对“三线一单”的内容进行了细化。</w:t>
      </w:r>
    </w:p>
    <w:p>
      <w:pPr>
        <w:ind w:firstLine="480"/>
        <w:rPr>
          <w:color w:val="auto"/>
        </w:rPr>
      </w:pPr>
      <w:r>
        <w:rPr>
          <w:color w:val="auto"/>
        </w:rPr>
        <w:t>为适应以改善环境质量为核心的环境管理要求，落实“生态保护红线、环境质量底线、资源利用上线和环境准入负面清单”约束，本次提出空间管制清单、环境准入负面清单。</w:t>
      </w:r>
    </w:p>
    <w:p>
      <w:pPr>
        <w:spacing w:beforeLines="50" w:afterLines="50"/>
        <w:ind w:firstLine="0" w:firstLineChars="0"/>
        <w:outlineLvl w:val="1"/>
        <w:rPr>
          <w:b/>
          <w:color w:val="auto"/>
          <w:sz w:val="28"/>
          <w:szCs w:val="28"/>
        </w:rPr>
      </w:pPr>
      <w:bookmarkStart w:id="21" w:name="_Toc7224"/>
      <w:r>
        <w:rPr>
          <w:rFonts w:hint="eastAsia"/>
          <w:b/>
          <w:color w:val="auto"/>
          <w:sz w:val="28"/>
          <w:szCs w:val="28"/>
        </w:rPr>
        <w:t>5.1空间管制范围</w:t>
      </w:r>
      <w:bookmarkEnd w:id="21"/>
    </w:p>
    <w:p>
      <w:pPr>
        <w:ind w:firstLine="480"/>
        <w:rPr>
          <w:color w:val="auto"/>
        </w:rPr>
      </w:pPr>
      <w:r>
        <w:rPr>
          <w:color w:val="auto"/>
        </w:rPr>
        <w:t>加强空间管制，是指在明确并保护生态空间的前提下，提出优化生产空间和生活空间的意见和要求，推进构建有利于环境保护的国土空间开发格局。</w:t>
      </w:r>
    </w:p>
    <w:p>
      <w:pPr>
        <w:ind w:firstLine="480"/>
        <w:rPr>
          <w:color w:val="auto"/>
        </w:rPr>
      </w:pPr>
      <w:r>
        <w:rPr>
          <w:color w:val="auto"/>
        </w:rPr>
        <w:t>控规调整后，规划区内用地类型均为新型产业用地。本次评价结合各规划区内各功能区域的特征，制定差异化空间管制清单。从维护生态系统完整性的角度，识别并确定需要严格保护的生态空间，作为区域空间开发的底线，并据此优化相关生产空间和生活空间布局，强化开发边界管制。当生产、生活空间与生态空间发生冲突时，按照“优先保障生态空间，合理安排生活空间，集约利用生产空间”的原则，对规划空间布局提出优化调整意见，以保障生态空间性质不转换、功能不降低。</w:t>
      </w:r>
    </w:p>
    <w:p>
      <w:pPr>
        <w:ind w:firstLine="480"/>
        <w:rPr>
          <w:color w:val="auto"/>
        </w:rPr>
      </w:pPr>
      <w:r>
        <w:rPr>
          <w:color w:val="auto"/>
        </w:rPr>
        <w:t>规划区各空间种类管控措施见下表。</w:t>
      </w:r>
    </w:p>
    <w:p>
      <w:pPr>
        <w:pStyle w:val="5"/>
        <w:ind w:firstLine="400"/>
        <w:rPr>
          <w:rFonts w:ascii="宋体" w:hAnsi="宋体" w:cs="宋体"/>
          <w:color w:val="auto"/>
        </w:rPr>
      </w:pPr>
      <w:r>
        <w:rPr>
          <w:rFonts w:hint="eastAsia"/>
          <w:color w:val="auto"/>
        </w:rPr>
        <w:t>表5.1-</w:t>
      </w:r>
      <w:r>
        <w:rPr>
          <w:color w:val="auto"/>
        </w:rPr>
        <w:fldChar w:fldCharType="begin"/>
      </w:r>
      <w:r>
        <w:rPr>
          <w:color w:val="auto"/>
        </w:rPr>
        <w:instrText xml:space="preserve"> </w:instrText>
      </w:r>
      <w:r>
        <w:rPr>
          <w:rFonts w:hint="eastAsia"/>
          <w:color w:val="auto"/>
        </w:rPr>
        <w:instrText xml:space="preserve">SEQ 表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ascii="宋体" w:hAnsi="宋体" w:cs="宋体"/>
          <w:color w:val="auto"/>
        </w:rPr>
        <w:t>空间管制清单</w:t>
      </w:r>
    </w:p>
    <w:tbl>
      <w:tblPr>
        <w:tblStyle w:val="14"/>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0"/>
        <w:gridCol w:w="1701"/>
        <w:gridCol w:w="1701"/>
        <w:gridCol w:w="1085"/>
        <w:gridCol w:w="34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2831" w:type="dxa"/>
            <w:gridSpan w:val="2"/>
            <w:vAlign w:val="center"/>
          </w:tcPr>
          <w:p>
            <w:pPr>
              <w:pStyle w:val="31"/>
              <w:rPr>
                <w:rFonts w:cs="Times New Roman"/>
                <w:b/>
                <w:bCs/>
                <w:color w:val="auto"/>
              </w:rPr>
            </w:pPr>
            <w:r>
              <w:rPr>
                <w:rFonts w:cs="Times New Roman"/>
                <w:b/>
                <w:bCs/>
                <w:color w:val="auto"/>
              </w:rPr>
              <w:t>空间种类</w:t>
            </w:r>
          </w:p>
        </w:tc>
        <w:tc>
          <w:tcPr>
            <w:tcW w:w="1701" w:type="dxa"/>
            <w:vAlign w:val="center"/>
          </w:tcPr>
          <w:p>
            <w:pPr>
              <w:pStyle w:val="31"/>
              <w:rPr>
                <w:rFonts w:cs="Times New Roman"/>
                <w:b/>
                <w:bCs/>
                <w:color w:val="auto"/>
              </w:rPr>
            </w:pPr>
            <w:r>
              <w:rPr>
                <w:rFonts w:cs="Times New Roman"/>
                <w:b/>
                <w:bCs/>
                <w:color w:val="auto"/>
              </w:rPr>
              <w:t>保护对象</w:t>
            </w:r>
          </w:p>
        </w:tc>
        <w:tc>
          <w:tcPr>
            <w:tcW w:w="1085" w:type="dxa"/>
            <w:vAlign w:val="center"/>
          </w:tcPr>
          <w:p>
            <w:pPr>
              <w:pStyle w:val="31"/>
              <w:rPr>
                <w:rFonts w:cs="Times New Roman"/>
                <w:b/>
                <w:bCs/>
                <w:color w:val="auto"/>
              </w:rPr>
            </w:pPr>
            <w:r>
              <w:rPr>
                <w:rFonts w:cs="Times New Roman"/>
                <w:b/>
                <w:bCs/>
                <w:color w:val="auto"/>
              </w:rPr>
              <w:t>准入要求</w:t>
            </w:r>
          </w:p>
        </w:tc>
        <w:tc>
          <w:tcPr>
            <w:tcW w:w="3443" w:type="dxa"/>
            <w:vAlign w:val="center"/>
          </w:tcPr>
          <w:p>
            <w:pPr>
              <w:pStyle w:val="31"/>
              <w:rPr>
                <w:rFonts w:cs="Times New Roman"/>
                <w:b/>
                <w:bCs/>
                <w:color w:val="auto"/>
              </w:rPr>
            </w:pPr>
            <w:r>
              <w:rPr>
                <w:rFonts w:cs="Times New Roman"/>
                <w:b/>
                <w:bCs/>
                <w:color w:val="auto"/>
              </w:rPr>
              <w:t>管控措施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1130" w:type="dxa"/>
            <w:vAlign w:val="center"/>
          </w:tcPr>
          <w:p>
            <w:pPr>
              <w:pStyle w:val="31"/>
              <w:rPr>
                <w:rFonts w:cs="Times New Roman"/>
                <w:color w:val="auto"/>
                <w:lang w:val="en-US"/>
              </w:rPr>
            </w:pPr>
            <w:r>
              <w:rPr>
                <w:rFonts w:cs="Times New Roman"/>
                <w:color w:val="auto"/>
                <w:lang w:val="en-US"/>
              </w:rPr>
              <w:t>生态空间</w:t>
            </w:r>
          </w:p>
        </w:tc>
        <w:tc>
          <w:tcPr>
            <w:tcW w:w="1701" w:type="dxa"/>
            <w:vAlign w:val="center"/>
          </w:tcPr>
          <w:p>
            <w:pPr>
              <w:pStyle w:val="31"/>
              <w:rPr>
                <w:rFonts w:cs="Times New Roman"/>
                <w:color w:val="auto"/>
              </w:rPr>
            </w:pPr>
            <w:r>
              <w:rPr>
                <w:rFonts w:cs="Times New Roman"/>
                <w:color w:val="auto"/>
              </w:rPr>
              <w:t>绿地与广场用地</w:t>
            </w:r>
          </w:p>
        </w:tc>
        <w:tc>
          <w:tcPr>
            <w:tcW w:w="1701" w:type="dxa"/>
            <w:vAlign w:val="center"/>
          </w:tcPr>
          <w:p>
            <w:pPr>
              <w:pStyle w:val="31"/>
              <w:rPr>
                <w:rFonts w:cs="Times New Roman"/>
                <w:color w:val="auto"/>
              </w:rPr>
            </w:pPr>
            <w:r>
              <w:rPr>
                <w:rFonts w:cs="Times New Roman"/>
                <w:color w:val="auto"/>
              </w:rPr>
              <w:t>公园与防护绿地</w:t>
            </w:r>
          </w:p>
        </w:tc>
        <w:tc>
          <w:tcPr>
            <w:tcW w:w="1085" w:type="dxa"/>
            <w:vAlign w:val="center"/>
          </w:tcPr>
          <w:p>
            <w:pPr>
              <w:pStyle w:val="31"/>
              <w:rPr>
                <w:rFonts w:cs="Times New Roman"/>
                <w:color w:val="auto"/>
              </w:rPr>
            </w:pPr>
            <w:r>
              <w:rPr>
                <w:rFonts w:cs="Times New Roman"/>
                <w:color w:val="auto"/>
              </w:rPr>
              <w:t>绿化建设</w:t>
            </w:r>
          </w:p>
        </w:tc>
        <w:tc>
          <w:tcPr>
            <w:tcW w:w="3443" w:type="dxa"/>
            <w:vAlign w:val="center"/>
          </w:tcPr>
          <w:p>
            <w:pPr>
              <w:pStyle w:val="31"/>
              <w:rPr>
                <w:rFonts w:cs="Times New Roman"/>
                <w:color w:val="auto"/>
                <w:lang w:val="en-US"/>
              </w:rPr>
            </w:pPr>
            <w:r>
              <w:rPr>
                <w:rFonts w:cs="Times New Roman"/>
                <w:color w:val="auto"/>
                <w:lang w:val="en-US"/>
              </w:rPr>
              <w:t>保证规划区内有足够的绿化率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7" w:hRule="atLeast"/>
          <w:jc w:val="center"/>
        </w:trPr>
        <w:tc>
          <w:tcPr>
            <w:tcW w:w="1130" w:type="dxa"/>
            <w:vAlign w:val="center"/>
          </w:tcPr>
          <w:p>
            <w:pPr>
              <w:pStyle w:val="31"/>
              <w:rPr>
                <w:rFonts w:cs="Times New Roman"/>
                <w:color w:val="auto"/>
              </w:rPr>
            </w:pPr>
            <w:r>
              <w:rPr>
                <w:rFonts w:cs="Times New Roman"/>
                <w:color w:val="auto"/>
              </w:rPr>
              <w:t>生产空间</w:t>
            </w:r>
          </w:p>
        </w:tc>
        <w:tc>
          <w:tcPr>
            <w:tcW w:w="1701" w:type="dxa"/>
            <w:vAlign w:val="center"/>
          </w:tcPr>
          <w:p>
            <w:pPr>
              <w:pStyle w:val="31"/>
              <w:rPr>
                <w:rFonts w:cs="Times New Roman"/>
                <w:color w:val="auto"/>
              </w:rPr>
            </w:pPr>
            <w:r>
              <w:rPr>
                <w:rFonts w:cs="Times New Roman"/>
                <w:color w:val="auto"/>
                <w:lang w:val="en-US"/>
              </w:rPr>
              <w:t>生产、试验空间</w:t>
            </w:r>
            <w:r>
              <w:rPr>
                <w:rFonts w:cs="Times New Roman"/>
                <w:color w:val="auto"/>
              </w:rPr>
              <w:t>及配套的生产设施（包括公共管理与公共服务设施、公用设施等）集中区域</w:t>
            </w:r>
          </w:p>
        </w:tc>
        <w:tc>
          <w:tcPr>
            <w:tcW w:w="1701" w:type="dxa"/>
            <w:vAlign w:val="center"/>
          </w:tcPr>
          <w:p>
            <w:pPr>
              <w:pStyle w:val="31"/>
              <w:rPr>
                <w:rFonts w:cs="Times New Roman"/>
                <w:color w:val="auto"/>
              </w:rPr>
            </w:pPr>
            <w:r>
              <w:rPr>
                <w:rFonts w:cs="Times New Roman"/>
                <w:color w:val="auto"/>
                <w:lang w:val="en-US"/>
              </w:rPr>
              <w:t>产业</w:t>
            </w:r>
            <w:r>
              <w:rPr>
                <w:rFonts w:cs="Times New Roman"/>
                <w:color w:val="auto"/>
              </w:rPr>
              <w:t>活动及各设施</w:t>
            </w:r>
          </w:p>
        </w:tc>
        <w:tc>
          <w:tcPr>
            <w:tcW w:w="1085" w:type="dxa"/>
            <w:vAlign w:val="center"/>
          </w:tcPr>
          <w:p>
            <w:pPr>
              <w:pStyle w:val="31"/>
              <w:rPr>
                <w:rFonts w:cs="Times New Roman"/>
                <w:color w:val="auto"/>
              </w:rPr>
            </w:pPr>
            <w:r>
              <w:rPr>
                <w:rFonts w:cs="Times New Roman"/>
                <w:color w:val="auto"/>
              </w:rPr>
              <w:t>符合产业定位和区域产业政策</w:t>
            </w:r>
          </w:p>
        </w:tc>
        <w:tc>
          <w:tcPr>
            <w:tcW w:w="3443" w:type="dxa"/>
            <w:vAlign w:val="center"/>
          </w:tcPr>
          <w:p>
            <w:pPr>
              <w:pStyle w:val="31"/>
              <w:rPr>
                <w:rFonts w:cs="Times New Roman"/>
                <w:color w:val="auto"/>
              </w:rPr>
            </w:pPr>
            <w:r>
              <w:rPr>
                <w:rFonts w:cs="Times New Roman"/>
                <w:color w:val="auto"/>
              </w:rPr>
              <w:t>1、提高环境准入门槛，引进项目应符合环境准入负面清单。</w:t>
            </w:r>
          </w:p>
          <w:p>
            <w:pPr>
              <w:pStyle w:val="31"/>
              <w:rPr>
                <w:rFonts w:cs="Times New Roman"/>
                <w:color w:val="auto"/>
              </w:rPr>
            </w:pPr>
            <w:r>
              <w:rPr>
                <w:rFonts w:cs="Times New Roman"/>
                <w:color w:val="auto"/>
              </w:rPr>
              <w:t>2、落实入区企业的三废污染减缓措施，实现废气污染物达标排放、废水污染物达标接管，固体废物合理有效处理处置。</w:t>
            </w:r>
          </w:p>
          <w:p>
            <w:pPr>
              <w:pStyle w:val="31"/>
              <w:rPr>
                <w:rFonts w:cs="Times New Roman"/>
                <w:color w:val="auto"/>
              </w:rPr>
            </w:pPr>
            <w:r>
              <w:rPr>
                <w:rFonts w:cs="Times New Roman"/>
                <w:color w:val="auto"/>
              </w:rPr>
              <w:t>3、根据入驻项目的环评要求，设置足够的环境防护距离。</w:t>
            </w:r>
          </w:p>
          <w:p>
            <w:pPr>
              <w:pStyle w:val="31"/>
              <w:rPr>
                <w:rFonts w:cs="Times New Roman"/>
                <w:color w:val="auto"/>
              </w:rPr>
            </w:pPr>
            <w:r>
              <w:rPr>
                <w:rFonts w:cs="Times New Roman"/>
                <w:color w:val="auto"/>
              </w:rPr>
              <w:t>4、加强环境影响跟踪监测与环境保护管理，建立健全区域风险防范体系。</w:t>
            </w:r>
          </w:p>
          <w:p>
            <w:pPr>
              <w:pStyle w:val="31"/>
              <w:rPr>
                <w:rFonts w:cs="Times New Roman"/>
                <w:color w:val="auto"/>
              </w:rPr>
            </w:pPr>
            <w:r>
              <w:rPr>
                <w:rFonts w:cs="Times New Roman"/>
                <w:color w:val="auto"/>
                <w:lang w:val="en-US"/>
              </w:rPr>
              <w:t>5</w:t>
            </w:r>
            <w:r>
              <w:rPr>
                <w:rFonts w:cs="Times New Roman"/>
                <w:color w:val="auto"/>
              </w:rPr>
              <w:t>、各区发展规模不得影响生活、生态空间环境功能，具体以建设项目论证为准。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5" w:hRule="atLeast"/>
          <w:jc w:val="center"/>
        </w:trPr>
        <w:tc>
          <w:tcPr>
            <w:tcW w:w="1130" w:type="dxa"/>
            <w:vAlign w:val="center"/>
          </w:tcPr>
          <w:p>
            <w:pPr>
              <w:pStyle w:val="31"/>
              <w:rPr>
                <w:rFonts w:cs="Times New Roman"/>
                <w:color w:val="auto"/>
              </w:rPr>
            </w:pPr>
            <w:r>
              <w:rPr>
                <w:rFonts w:cs="Times New Roman"/>
                <w:color w:val="auto"/>
              </w:rPr>
              <w:t>道路与交通设施用地</w:t>
            </w:r>
          </w:p>
        </w:tc>
        <w:tc>
          <w:tcPr>
            <w:tcW w:w="1701" w:type="dxa"/>
            <w:vAlign w:val="center"/>
          </w:tcPr>
          <w:p>
            <w:pPr>
              <w:pStyle w:val="31"/>
              <w:rPr>
                <w:rFonts w:cs="Times New Roman"/>
                <w:color w:val="auto"/>
                <w:lang w:val="en-US"/>
              </w:rPr>
            </w:pPr>
            <w:r>
              <w:rPr>
                <w:rFonts w:cs="Times New Roman"/>
                <w:color w:val="auto"/>
                <w:lang w:val="en-US"/>
              </w:rPr>
              <w:t>道路</w:t>
            </w:r>
          </w:p>
        </w:tc>
        <w:tc>
          <w:tcPr>
            <w:tcW w:w="1701" w:type="dxa"/>
            <w:vAlign w:val="center"/>
          </w:tcPr>
          <w:p>
            <w:pPr>
              <w:pStyle w:val="31"/>
              <w:rPr>
                <w:rFonts w:cs="Times New Roman"/>
                <w:color w:val="auto"/>
              </w:rPr>
            </w:pPr>
            <w:r>
              <w:rPr>
                <w:rFonts w:cs="Times New Roman"/>
                <w:color w:val="auto"/>
              </w:rPr>
              <w:t>道路交通设施</w:t>
            </w:r>
          </w:p>
        </w:tc>
        <w:tc>
          <w:tcPr>
            <w:tcW w:w="1085" w:type="dxa"/>
            <w:vAlign w:val="center"/>
          </w:tcPr>
          <w:p>
            <w:pPr>
              <w:pStyle w:val="31"/>
              <w:rPr>
                <w:rFonts w:cs="Times New Roman"/>
                <w:color w:val="auto"/>
              </w:rPr>
            </w:pPr>
            <w:r>
              <w:rPr>
                <w:rFonts w:cs="Times New Roman"/>
                <w:color w:val="auto"/>
              </w:rPr>
              <w:t>/</w:t>
            </w:r>
          </w:p>
        </w:tc>
        <w:tc>
          <w:tcPr>
            <w:tcW w:w="3443" w:type="dxa"/>
            <w:vAlign w:val="center"/>
          </w:tcPr>
          <w:p>
            <w:pPr>
              <w:pStyle w:val="31"/>
              <w:rPr>
                <w:rFonts w:cs="Times New Roman"/>
                <w:color w:val="auto"/>
              </w:rPr>
            </w:pPr>
            <w:r>
              <w:rPr>
                <w:rFonts w:cs="Times New Roman"/>
                <w:color w:val="auto"/>
              </w:rPr>
              <w:t>落实道路两侧噪声防护绿化带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1130" w:type="dxa"/>
            <w:vAlign w:val="center"/>
          </w:tcPr>
          <w:p>
            <w:pPr>
              <w:pStyle w:val="31"/>
              <w:rPr>
                <w:rFonts w:cs="Times New Roman"/>
                <w:color w:val="auto"/>
              </w:rPr>
            </w:pPr>
            <w:r>
              <w:rPr>
                <w:rFonts w:cs="Times New Roman"/>
                <w:color w:val="auto"/>
              </w:rPr>
              <w:t>生活空间</w:t>
            </w:r>
          </w:p>
        </w:tc>
        <w:tc>
          <w:tcPr>
            <w:tcW w:w="1701" w:type="dxa"/>
            <w:vAlign w:val="center"/>
          </w:tcPr>
          <w:p>
            <w:pPr>
              <w:pStyle w:val="31"/>
              <w:rPr>
                <w:rFonts w:cs="Times New Roman"/>
                <w:color w:val="auto"/>
                <w:lang w:val="en-US"/>
              </w:rPr>
            </w:pPr>
            <w:r>
              <w:rPr>
                <w:rFonts w:cs="Times New Roman"/>
                <w:color w:val="auto"/>
                <w:lang w:val="en-US"/>
              </w:rPr>
              <w:t>生活、</w:t>
            </w:r>
            <w:r>
              <w:rPr>
                <w:rFonts w:cs="Times New Roman"/>
                <w:color w:val="auto"/>
              </w:rPr>
              <w:t>商业服务</w:t>
            </w:r>
            <w:r>
              <w:rPr>
                <w:rFonts w:cs="Times New Roman"/>
                <w:color w:val="auto"/>
                <w:lang w:val="en-US"/>
              </w:rPr>
              <w:t>区域</w:t>
            </w:r>
          </w:p>
        </w:tc>
        <w:tc>
          <w:tcPr>
            <w:tcW w:w="1701" w:type="dxa"/>
            <w:vAlign w:val="center"/>
          </w:tcPr>
          <w:p>
            <w:pPr>
              <w:pStyle w:val="31"/>
              <w:rPr>
                <w:rFonts w:cs="Times New Roman"/>
                <w:color w:val="auto"/>
              </w:rPr>
            </w:pPr>
            <w:r>
              <w:rPr>
                <w:rFonts w:cs="Times New Roman"/>
                <w:color w:val="auto"/>
                <w:lang w:val="en-US"/>
              </w:rPr>
              <w:t>生活、</w:t>
            </w:r>
            <w:r>
              <w:rPr>
                <w:rFonts w:cs="Times New Roman"/>
                <w:color w:val="auto"/>
              </w:rPr>
              <w:t>商业服务业设施</w:t>
            </w:r>
          </w:p>
        </w:tc>
        <w:tc>
          <w:tcPr>
            <w:tcW w:w="1085" w:type="dxa"/>
            <w:vAlign w:val="center"/>
          </w:tcPr>
          <w:p>
            <w:pPr>
              <w:pStyle w:val="31"/>
              <w:rPr>
                <w:rFonts w:cs="Times New Roman"/>
                <w:color w:val="auto"/>
              </w:rPr>
            </w:pPr>
            <w:r>
              <w:rPr>
                <w:rFonts w:cs="Times New Roman"/>
                <w:color w:val="auto"/>
              </w:rPr>
              <w:t>/</w:t>
            </w:r>
          </w:p>
        </w:tc>
        <w:tc>
          <w:tcPr>
            <w:tcW w:w="3443" w:type="dxa"/>
            <w:vAlign w:val="center"/>
          </w:tcPr>
          <w:p>
            <w:pPr>
              <w:pStyle w:val="31"/>
              <w:rPr>
                <w:rFonts w:cs="Times New Roman"/>
                <w:color w:val="auto"/>
              </w:rPr>
            </w:pPr>
            <w:r>
              <w:rPr>
                <w:rFonts w:cs="Times New Roman"/>
                <w:color w:val="auto"/>
              </w:rPr>
              <w:t>设立隔离带</w:t>
            </w:r>
          </w:p>
        </w:tc>
      </w:tr>
    </w:tbl>
    <w:p>
      <w:pPr>
        <w:spacing w:beforeLines="50" w:afterLines="50"/>
        <w:ind w:firstLine="0" w:firstLineChars="0"/>
        <w:outlineLvl w:val="1"/>
        <w:rPr>
          <w:b/>
          <w:color w:val="auto"/>
          <w:sz w:val="28"/>
          <w:szCs w:val="28"/>
        </w:rPr>
      </w:pPr>
      <w:bookmarkStart w:id="22" w:name="_Toc13816"/>
      <w:r>
        <w:rPr>
          <w:rFonts w:hint="eastAsia"/>
          <w:b/>
          <w:color w:val="auto"/>
          <w:sz w:val="28"/>
          <w:szCs w:val="28"/>
        </w:rPr>
        <w:t>5.2生态保护红线</w:t>
      </w:r>
      <w:bookmarkEnd w:id="22"/>
    </w:p>
    <w:p>
      <w:pPr>
        <w:ind w:firstLine="480"/>
        <w:rPr>
          <w:color w:val="auto"/>
        </w:rPr>
      </w:pPr>
      <w:r>
        <w:rPr>
          <w:color w:val="auto"/>
        </w:rPr>
        <w:t>《关于以改善环境质量为核心加强环境影响评价管理的通知》（环环评[2016]150号）提出：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ind w:firstLine="480"/>
        <w:rPr>
          <w:color w:val="auto"/>
        </w:rPr>
      </w:pPr>
      <w:r>
        <w:rPr>
          <w:color w:val="auto"/>
        </w:rPr>
        <w:t>本规划区不涉及《广州市城市环境总体规划（2014-2030）》划定的生态红线，不属于广东省生态严控区、主体功能区中的重点生态功能区、生态敏感区、生态脆弱区、生物多样性保护优先区和自然保护区等法定禁止开发区域，以及其他对于维持生态系统结构和功能具有重要意义的区域，因此可适度合理进行城镇、工农业生产建设。</w:t>
      </w:r>
    </w:p>
    <w:p>
      <w:pPr>
        <w:ind w:firstLine="480"/>
        <w:rPr>
          <w:color w:val="auto"/>
        </w:rPr>
      </w:pPr>
      <w:r>
        <w:rPr>
          <w:color w:val="auto"/>
        </w:rPr>
        <w:t>综上所述，本规划区符合“三线一单”中生态保护红线的要求。</w:t>
      </w:r>
    </w:p>
    <w:p>
      <w:pPr>
        <w:spacing w:beforeLines="50" w:afterLines="50"/>
        <w:ind w:firstLine="0" w:firstLineChars="0"/>
        <w:outlineLvl w:val="1"/>
        <w:rPr>
          <w:b/>
          <w:color w:val="auto"/>
          <w:sz w:val="28"/>
          <w:szCs w:val="28"/>
        </w:rPr>
      </w:pPr>
      <w:bookmarkStart w:id="23" w:name="_Toc8398"/>
      <w:r>
        <w:rPr>
          <w:rFonts w:hint="eastAsia"/>
          <w:b/>
          <w:color w:val="auto"/>
          <w:sz w:val="28"/>
          <w:szCs w:val="28"/>
        </w:rPr>
        <w:t>5.3环境质量底线</w:t>
      </w:r>
      <w:bookmarkEnd w:id="23"/>
    </w:p>
    <w:p>
      <w:pPr>
        <w:ind w:firstLine="480"/>
        <w:rPr>
          <w:rFonts w:hint="eastAsia" w:eastAsia="宋体"/>
          <w:color w:val="auto"/>
          <w:lang w:eastAsia="zh-CN"/>
        </w:rPr>
      </w:pPr>
      <w:r>
        <w:rPr>
          <w:rFonts w:hint="eastAsia"/>
          <w:color w:val="auto"/>
        </w:rPr>
        <w:t>（1）文件要求</w:t>
      </w:r>
    </w:p>
    <w:p>
      <w:pPr>
        <w:ind w:firstLine="480"/>
        <w:rPr>
          <w:color w:val="auto"/>
        </w:rPr>
      </w:pPr>
      <w:r>
        <w:rPr>
          <w:color w:val="auto"/>
        </w:rPr>
        <w:t>《关于规划环境影响评价加强空间管制、总量管控和环境准入的指导意见（试行）》（环办环评[2016]14号）提出：加强总量管控，是指应以推进环境质量改善为目标，明确区域（流域）及重点行业污染物排放总量上限，作为调控区域内产业规模和开发强度的依据。</w:t>
      </w:r>
    </w:p>
    <w:p>
      <w:pPr>
        <w:ind w:firstLine="480"/>
        <w:rPr>
          <w:color w:val="auto"/>
        </w:rPr>
      </w:pPr>
      <w:r>
        <w:rPr>
          <w:color w:val="auto"/>
        </w:rPr>
        <w:t>《关于以改善环境质量为核心加强环境影响评价管理的通知》（环环评[2016]150号）提出：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w:t>
      </w:r>
    </w:p>
    <w:p>
      <w:pPr>
        <w:ind w:firstLine="480"/>
        <w:rPr>
          <w:color w:val="auto"/>
        </w:rPr>
      </w:pPr>
      <w:r>
        <w:rPr>
          <w:rFonts w:hint="eastAsia"/>
          <w:color w:val="auto"/>
        </w:rPr>
        <w:t>（2）规划区环境功能区划要求</w:t>
      </w:r>
    </w:p>
    <w:p>
      <w:pPr>
        <w:ind w:firstLine="480"/>
        <w:rPr>
          <w:color w:val="auto"/>
        </w:rPr>
      </w:pPr>
      <w:r>
        <w:rPr>
          <w:color w:val="auto"/>
        </w:rPr>
        <w:t>本规划区域纳污水体为</w:t>
      </w:r>
      <w:r>
        <w:rPr>
          <w:rFonts w:hint="eastAsia"/>
          <w:color w:val="auto"/>
          <w:lang w:eastAsia="zh-CN"/>
        </w:rPr>
        <w:t>凤凰河</w:t>
      </w:r>
      <w:r>
        <w:rPr>
          <w:color w:val="auto"/>
        </w:rPr>
        <w:t>，根据《广东省地表水环境功能区划》（粤府函〔2011〕29号），</w:t>
      </w:r>
      <w:r>
        <w:rPr>
          <w:rFonts w:hint="eastAsia"/>
          <w:color w:val="auto"/>
          <w:lang w:eastAsia="zh-CN"/>
        </w:rPr>
        <w:t>凤凰河</w:t>
      </w:r>
      <w:r>
        <w:rPr>
          <w:color w:val="auto"/>
        </w:rPr>
        <w:t>应执行《地表水环境质量标准》（G3838-2002）地表水Ⅲ类水质标准</w:t>
      </w:r>
      <w:r>
        <w:rPr>
          <w:color w:val="auto"/>
          <w:kern w:val="0"/>
        </w:rPr>
        <w:t>。</w:t>
      </w:r>
    </w:p>
    <w:p>
      <w:pPr>
        <w:ind w:firstLine="480"/>
        <w:rPr>
          <w:color w:val="auto"/>
        </w:rPr>
      </w:pPr>
      <w:r>
        <w:rPr>
          <w:rFonts w:hint="eastAsia"/>
          <w:color w:val="auto"/>
        </w:rPr>
        <w:t>根据《广州市人民政府关于印发广州市环境空气功能区区划（修订）的通知》（穗府〔2013〕17号），规划区域环境空气属于二类区，执行《环境空气质量标准》（GB3095-2012）二级标准。</w:t>
      </w:r>
    </w:p>
    <w:p>
      <w:pPr>
        <w:spacing w:beforeLines="50" w:afterLines="50"/>
        <w:ind w:firstLine="0" w:firstLineChars="0"/>
        <w:outlineLvl w:val="1"/>
        <w:rPr>
          <w:b/>
          <w:color w:val="auto"/>
          <w:sz w:val="28"/>
          <w:szCs w:val="28"/>
        </w:rPr>
      </w:pPr>
      <w:bookmarkStart w:id="24" w:name="_Toc21498"/>
      <w:r>
        <w:rPr>
          <w:rFonts w:hint="eastAsia"/>
          <w:b/>
          <w:color w:val="auto"/>
          <w:sz w:val="28"/>
          <w:szCs w:val="28"/>
        </w:rPr>
        <w:t>5.4资源利用上线</w:t>
      </w:r>
      <w:bookmarkEnd w:id="24"/>
    </w:p>
    <w:p>
      <w:pPr>
        <w:ind w:firstLine="480"/>
        <w:rPr>
          <w:color w:val="auto"/>
        </w:rPr>
      </w:pPr>
      <w:r>
        <w:rPr>
          <w:color w:val="auto"/>
        </w:rPr>
        <w:t>《关于以改善环境质量为核心加强环境影响评价管理的通知》（环环评[2016]150号）指出：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ind w:firstLine="480"/>
        <w:rPr>
          <w:color w:val="auto"/>
        </w:rPr>
      </w:pPr>
      <w:r>
        <w:rPr>
          <w:color w:val="auto"/>
        </w:rPr>
        <w:t>（1）水资源</w:t>
      </w:r>
    </w:p>
    <w:p>
      <w:pPr>
        <w:ind w:firstLine="480"/>
        <w:rPr>
          <w:color w:val="auto"/>
        </w:rPr>
      </w:pPr>
      <w:r>
        <w:rPr>
          <w:color w:val="auto"/>
        </w:rPr>
        <w:t>根据水资源承载力分析可知，规划范围内近期由广州市穗云自来水厂和增城柯灯山水厂作为主要供水水源，近期由新建北部净水站、南部净水站作为供水水源，可满足本规划区用水需求。</w:t>
      </w:r>
    </w:p>
    <w:p>
      <w:pPr>
        <w:ind w:firstLine="480"/>
        <w:rPr>
          <w:color w:val="auto"/>
        </w:rPr>
      </w:pPr>
      <w:r>
        <w:rPr>
          <w:color w:val="auto"/>
        </w:rPr>
        <w:t>（2）土地资源</w:t>
      </w:r>
    </w:p>
    <w:p>
      <w:pPr>
        <w:ind w:firstLine="480"/>
        <w:rPr>
          <w:color w:val="auto"/>
        </w:rPr>
      </w:pPr>
      <w:r>
        <w:rPr>
          <w:color w:val="auto"/>
        </w:rPr>
        <w:t>本规划总范围为70399平方米，均为新型产业用地，规划区建设应严格按照规划实施，总用地面积不应超过70399平方米上限，可满足本规划区土地资源需求。</w:t>
      </w:r>
    </w:p>
    <w:p>
      <w:pPr>
        <w:ind w:firstLine="480"/>
        <w:rPr>
          <w:color w:val="auto"/>
        </w:rPr>
      </w:pPr>
      <w:r>
        <w:rPr>
          <w:color w:val="auto"/>
        </w:rPr>
        <w:t>综上所述，本规划区符合“三线一单”中资源利用上线的要求。</w:t>
      </w:r>
    </w:p>
    <w:p>
      <w:pPr>
        <w:spacing w:beforeLines="50" w:afterLines="50"/>
        <w:ind w:firstLine="0" w:firstLineChars="0"/>
        <w:outlineLvl w:val="1"/>
        <w:rPr>
          <w:rFonts w:hint="eastAsia" w:eastAsia="宋体"/>
          <w:b/>
          <w:color w:val="auto"/>
          <w:sz w:val="28"/>
          <w:szCs w:val="28"/>
          <w:lang w:eastAsia="zh-CN"/>
        </w:rPr>
      </w:pPr>
      <w:bookmarkStart w:id="25" w:name="_Toc19357"/>
      <w:r>
        <w:rPr>
          <w:rFonts w:hint="eastAsia"/>
          <w:b/>
          <w:color w:val="auto"/>
          <w:sz w:val="28"/>
          <w:szCs w:val="28"/>
        </w:rPr>
        <w:t>5.5规划区负面清单建议</w:t>
      </w:r>
      <w:bookmarkEnd w:id="25"/>
    </w:p>
    <w:p>
      <w:pPr>
        <w:ind w:firstLine="480"/>
        <w:rPr>
          <w:color w:val="auto"/>
        </w:rPr>
      </w:pPr>
      <w:r>
        <w:rPr>
          <w:rFonts w:hint="eastAsia"/>
          <w:color w:val="auto"/>
        </w:rPr>
        <w:t>（</w:t>
      </w:r>
      <w:r>
        <w:rPr>
          <w:color w:val="auto"/>
        </w:rPr>
        <w:t>根据《广东省主体功能区划》和规划区规划等相关政策要求，规划区拟引进的规划产业主要选择具有以下特点的产业：高附加值、高土地产出密度、高税收、高成长性、高关联效应、高技术层次与含量、无不良环境影响的产业。</w:t>
      </w:r>
    </w:p>
    <w:p>
      <w:pPr>
        <w:ind w:firstLine="480"/>
        <w:rPr>
          <w:color w:val="auto"/>
        </w:rPr>
      </w:pPr>
      <w:r>
        <w:rPr>
          <w:color w:val="auto"/>
        </w:rPr>
        <w:t>进入规划区的项目的准入条件明确规划区引进产业的方向，并基于生态保护红线、环境质量底线和资源利用上线，本次评价以清单方式列出以下针对本规划区与主导产业相关的禁止、限制、允许等差别化环境准入负面清单</w:t>
      </w:r>
      <w:r>
        <w:rPr>
          <w:rFonts w:hint="eastAsia"/>
          <w:color w:val="auto"/>
          <w:lang w:eastAsia="zh-CN"/>
        </w:rPr>
        <w:t>，</w:t>
      </w:r>
      <w:r>
        <w:rPr>
          <w:rFonts w:hint="eastAsia"/>
          <w:color w:val="auto"/>
          <w:lang w:val="en-US" w:eastAsia="zh-CN"/>
        </w:rPr>
        <w:t>详见下表</w:t>
      </w:r>
      <w:r>
        <w:rPr>
          <w:rFonts w:hint="eastAsia"/>
          <w:color w:val="auto"/>
        </w:rPr>
        <w:t>。</w:t>
      </w:r>
    </w:p>
    <w:p>
      <w:pPr>
        <w:pStyle w:val="5"/>
        <w:ind w:firstLine="400"/>
        <w:rPr>
          <w:color w:val="auto"/>
        </w:rPr>
      </w:pPr>
      <w:r>
        <w:rPr>
          <w:rFonts w:hint="eastAsia"/>
          <w:color w:val="auto"/>
        </w:rPr>
        <w:t>表5.</w:t>
      </w:r>
      <w:r>
        <w:rPr>
          <w:color w:val="auto"/>
        </w:rPr>
        <w:t>5</w:t>
      </w:r>
      <w:r>
        <w:rPr>
          <w:rFonts w:hint="eastAsia"/>
          <w:color w:val="auto"/>
        </w:rPr>
        <w:t>-</w:t>
      </w:r>
      <w:r>
        <w:rPr>
          <w:color w:val="auto"/>
        </w:rPr>
        <w:fldChar w:fldCharType="begin"/>
      </w:r>
      <w:r>
        <w:rPr>
          <w:color w:val="auto"/>
        </w:rPr>
        <w:instrText xml:space="preserve"> </w:instrText>
      </w:r>
      <w:r>
        <w:rPr>
          <w:rFonts w:hint="eastAsia"/>
          <w:color w:val="auto"/>
        </w:rPr>
        <w:instrText xml:space="preserve">SEQ 表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规划区主导产业环境准入负面清单</w:t>
      </w:r>
    </w:p>
    <w:tbl>
      <w:tblPr>
        <w:tblStyle w:val="14"/>
        <w:tblW w:w="9288" w:type="dxa"/>
        <w:jc w:val="center"/>
        <w:tblLayout w:type="fixed"/>
        <w:tblCellMar>
          <w:top w:w="0" w:type="dxa"/>
          <w:left w:w="0" w:type="dxa"/>
          <w:bottom w:w="0" w:type="dxa"/>
          <w:right w:w="0" w:type="dxa"/>
        </w:tblCellMar>
      </w:tblPr>
      <w:tblGrid>
        <w:gridCol w:w="1798"/>
        <w:gridCol w:w="7490"/>
      </w:tblGrid>
      <w:tr>
        <w:tblPrEx>
          <w:tblCellMar>
            <w:top w:w="0" w:type="dxa"/>
            <w:left w:w="0" w:type="dxa"/>
            <w:bottom w:w="0" w:type="dxa"/>
            <w:right w:w="0" w:type="dxa"/>
          </w:tblCellMar>
        </w:tblPrEx>
        <w:trPr>
          <w:trHeight w:val="268" w:hRule="atLeast"/>
          <w:jc w:val="center"/>
        </w:trPr>
        <w:tc>
          <w:tcPr>
            <w:tcW w:w="1798" w:type="dxa"/>
            <w:tcBorders>
              <w:top w:val="single" w:color="000000" w:sz="6" w:space="0"/>
              <w:left w:val="single" w:color="000000" w:sz="4" w:space="0"/>
              <w:bottom w:val="single" w:color="000000" w:sz="4" w:space="0"/>
              <w:right w:val="single" w:color="000000" w:sz="4" w:space="0"/>
            </w:tcBorders>
            <w:vAlign w:val="center"/>
          </w:tcPr>
          <w:p>
            <w:pPr>
              <w:pStyle w:val="31"/>
              <w:rPr>
                <w:rFonts w:cs="Times New Roman"/>
                <w:b/>
                <w:bCs/>
                <w:color w:val="auto"/>
              </w:rPr>
            </w:pPr>
            <w:r>
              <w:rPr>
                <w:rFonts w:cs="Times New Roman"/>
                <w:b/>
                <w:bCs/>
                <w:color w:val="auto"/>
              </w:rPr>
              <w:t>类别</w:t>
            </w:r>
          </w:p>
        </w:tc>
        <w:tc>
          <w:tcPr>
            <w:tcW w:w="7490" w:type="dxa"/>
            <w:tcBorders>
              <w:top w:val="single" w:color="000000" w:sz="6" w:space="0"/>
              <w:left w:val="single" w:color="000000" w:sz="4" w:space="0"/>
              <w:bottom w:val="single" w:color="000000" w:sz="4" w:space="0"/>
              <w:right w:val="single" w:color="000000" w:sz="4" w:space="0"/>
            </w:tcBorders>
            <w:vAlign w:val="center"/>
          </w:tcPr>
          <w:p>
            <w:pPr>
              <w:pStyle w:val="31"/>
              <w:rPr>
                <w:rFonts w:cs="Times New Roman"/>
                <w:b/>
                <w:bCs/>
                <w:color w:val="auto"/>
              </w:rPr>
            </w:pPr>
            <w:r>
              <w:rPr>
                <w:rFonts w:cs="Times New Roman"/>
                <w:b/>
                <w:bCs/>
                <w:color w:val="auto"/>
              </w:rPr>
              <w:t>工业类型</w:t>
            </w:r>
          </w:p>
        </w:tc>
      </w:tr>
      <w:tr>
        <w:tblPrEx>
          <w:tblCellMar>
            <w:top w:w="0" w:type="dxa"/>
            <w:left w:w="0" w:type="dxa"/>
            <w:bottom w:w="0" w:type="dxa"/>
            <w:right w:w="0" w:type="dxa"/>
          </w:tblCellMar>
        </w:tblPrEx>
        <w:trPr>
          <w:trHeight w:val="546" w:hRule="atLeast"/>
          <w:jc w:val="center"/>
        </w:trPr>
        <w:tc>
          <w:tcPr>
            <w:tcW w:w="1798" w:type="dxa"/>
            <w:tcBorders>
              <w:top w:val="single" w:color="000000" w:sz="4" w:space="0"/>
              <w:left w:val="single" w:color="000000" w:sz="4" w:space="0"/>
              <w:bottom w:val="single" w:color="000000" w:sz="4" w:space="0"/>
              <w:right w:val="single" w:color="000000" w:sz="4" w:space="0"/>
            </w:tcBorders>
            <w:vAlign w:val="center"/>
          </w:tcPr>
          <w:p>
            <w:pPr>
              <w:pStyle w:val="31"/>
              <w:rPr>
                <w:rFonts w:cs="Times New Roman"/>
                <w:color w:val="auto"/>
              </w:rPr>
            </w:pPr>
            <w:r>
              <w:rPr>
                <w:rFonts w:cs="Times New Roman"/>
                <w:color w:val="auto"/>
              </w:rPr>
              <w:t>允许进入</w:t>
            </w:r>
          </w:p>
        </w:tc>
        <w:tc>
          <w:tcPr>
            <w:tcW w:w="7490" w:type="dxa"/>
            <w:tcBorders>
              <w:top w:val="single" w:color="000000" w:sz="4" w:space="0"/>
              <w:left w:val="single" w:color="000000" w:sz="4" w:space="0"/>
              <w:bottom w:val="single" w:color="000000" w:sz="4" w:space="0"/>
              <w:right w:val="single" w:color="000000" w:sz="4" w:space="0"/>
            </w:tcBorders>
            <w:vAlign w:val="center"/>
          </w:tcPr>
          <w:p>
            <w:pPr>
              <w:pStyle w:val="31"/>
              <w:jc w:val="left"/>
              <w:rPr>
                <w:rFonts w:cs="Times New Roman"/>
                <w:color w:val="auto"/>
                <w:spacing w:val="-9"/>
              </w:rPr>
            </w:pPr>
            <w:r>
              <w:rPr>
                <w:rFonts w:cs="Times New Roman"/>
                <w:color w:val="auto"/>
                <w:spacing w:val="-9"/>
              </w:rPr>
              <w:t>一、</w:t>
            </w:r>
            <w:r>
              <w:rPr>
                <w:rFonts w:cs="Times New Roman"/>
                <w:color w:val="auto"/>
                <w:spacing w:val="-9"/>
                <w:lang w:val="en-US"/>
              </w:rPr>
              <w:t>用于发展新一代信息技术、生物与健康、高端装备制造、新能源、新材料、新能源汽车、节能环保、数字创意、现代服务业等九类新型产业，或经区政府认定的其他新型产业项目</w:t>
            </w:r>
            <w:r>
              <w:rPr>
                <w:rFonts w:cs="Times New Roman"/>
                <w:color w:val="auto"/>
                <w:spacing w:val="-9"/>
              </w:rPr>
              <w:t>；</w:t>
            </w:r>
          </w:p>
          <w:p>
            <w:pPr>
              <w:pStyle w:val="31"/>
              <w:jc w:val="left"/>
              <w:rPr>
                <w:rFonts w:cs="Times New Roman"/>
                <w:color w:val="auto"/>
                <w:spacing w:val="-5"/>
              </w:rPr>
            </w:pPr>
            <w:r>
              <w:rPr>
                <w:rFonts w:cs="Times New Roman"/>
                <w:color w:val="auto"/>
                <w:spacing w:val="-9"/>
                <w:lang w:val="en-US"/>
              </w:rPr>
              <w:t>二</w:t>
            </w:r>
            <w:r>
              <w:rPr>
                <w:rFonts w:cs="Times New Roman"/>
                <w:color w:val="auto"/>
                <w:spacing w:val="-9"/>
              </w:rPr>
              <w:t>、其他符合规划区定位的鼓</w:t>
            </w:r>
            <w:r>
              <w:rPr>
                <w:rFonts w:cs="Times New Roman"/>
                <w:color w:val="auto"/>
                <w:spacing w:val="-5"/>
              </w:rPr>
              <w:t>励类项目。</w:t>
            </w:r>
          </w:p>
        </w:tc>
      </w:tr>
      <w:tr>
        <w:tblPrEx>
          <w:tblCellMar>
            <w:top w:w="0" w:type="dxa"/>
            <w:left w:w="0" w:type="dxa"/>
            <w:bottom w:w="0" w:type="dxa"/>
            <w:right w:w="0" w:type="dxa"/>
          </w:tblCellMar>
        </w:tblPrEx>
        <w:trPr>
          <w:trHeight w:val="1089" w:hRule="atLeast"/>
          <w:jc w:val="center"/>
        </w:trPr>
        <w:tc>
          <w:tcPr>
            <w:tcW w:w="1798" w:type="dxa"/>
            <w:tcBorders>
              <w:top w:val="single" w:color="000000" w:sz="4" w:space="0"/>
              <w:left w:val="single" w:color="000000" w:sz="4" w:space="0"/>
              <w:bottom w:val="single" w:color="000000" w:sz="4" w:space="0"/>
              <w:right w:val="single" w:color="000000" w:sz="4" w:space="0"/>
            </w:tcBorders>
            <w:vAlign w:val="center"/>
          </w:tcPr>
          <w:p>
            <w:pPr>
              <w:pStyle w:val="31"/>
              <w:rPr>
                <w:rFonts w:cs="Times New Roman"/>
                <w:color w:val="auto"/>
              </w:rPr>
            </w:pPr>
            <w:r>
              <w:rPr>
                <w:rFonts w:cs="Times New Roman"/>
                <w:color w:val="auto"/>
              </w:rPr>
              <w:t>限制进入</w:t>
            </w:r>
          </w:p>
        </w:tc>
        <w:tc>
          <w:tcPr>
            <w:tcW w:w="7490" w:type="dxa"/>
            <w:tcBorders>
              <w:top w:val="single" w:color="000000" w:sz="4" w:space="0"/>
              <w:left w:val="single" w:color="000000" w:sz="4" w:space="0"/>
              <w:bottom w:val="single" w:color="000000" w:sz="4" w:space="0"/>
              <w:right w:val="single" w:color="000000" w:sz="4" w:space="0"/>
            </w:tcBorders>
            <w:vAlign w:val="center"/>
          </w:tcPr>
          <w:p>
            <w:pPr>
              <w:pStyle w:val="31"/>
              <w:numPr>
                <w:ilvl w:val="0"/>
                <w:numId w:val="2"/>
              </w:numPr>
              <w:jc w:val="left"/>
              <w:rPr>
                <w:rFonts w:cs="Times New Roman"/>
                <w:color w:val="auto"/>
              </w:rPr>
            </w:pPr>
            <w:r>
              <w:rPr>
                <w:rFonts w:cs="Times New Roman"/>
                <w:color w:val="auto"/>
                <w:spacing w:val="-3"/>
              </w:rPr>
              <w:t>《产业结构调整指导目录（201</w:t>
            </w:r>
            <w:r>
              <w:rPr>
                <w:rFonts w:cs="Times New Roman"/>
                <w:color w:val="auto"/>
                <w:spacing w:val="-3"/>
                <w:lang w:val="en-US"/>
              </w:rPr>
              <w:t>9</w:t>
            </w:r>
            <w:r>
              <w:rPr>
                <w:rFonts w:cs="Times New Roman"/>
                <w:color w:val="auto"/>
                <w:spacing w:val="-3"/>
              </w:rPr>
              <w:t>年本）》</w:t>
            </w:r>
            <w:r>
              <w:rPr>
                <w:rFonts w:cs="Times New Roman"/>
                <w:color w:val="auto"/>
                <w:spacing w:val="-3"/>
                <w:lang w:val="en-US"/>
              </w:rPr>
              <w:t>中限值类项目；</w:t>
            </w:r>
          </w:p>
          <w:p>
            <w:pPr>
              <w:pStyle w:val="31"/>
              <w:numPr>
                <w:ilvl w:val="0"/>
                <w:numId w:val="2"/>
              </w:numPr>
              <w:jc w:val="left"/>
              <w:rPr>
                <w:rFonts w:cs="Times New Roman"/>
                <w:color w:val="auto"/>
              </w:rPr>
            </w:pPr>
            <w:r>
              <w:rPr>
                <w:rFonts w:cs="Times New Roman"/>
                <w:color w:val="auto"/>
              </w:rPr>
              <w:t>含有</w:t>
            </w:r>
            <w:r>
              <w:rPr>
                <w:rFonts w:cs="Times New Roman"/>
                <w:color w:val="auto"/>
                <w:lang w:val="en-US"/>
              </w:rPr>
              <w:t>喷漆涂装工艺</w:t>
            </w:r>
            <w:r>
              <w:rPr>
                <w:rFonts w:cs="Times New Roman"/>
                <w:color w:val="auto"/>
              </w:rPr>
              <w:t>的项目；</w:t>
            </w:r>
          </w:p>
          <w:p>
            <w:pPr>
              <w:pStyle w:val="31"/>
              <w:numPr>
                <w:ilvl w:val="0"/>
                <w:numId w:val="2"/>
              </w:numPr>
              <w:jc w:val="left"/>
              <w:rPr>
                <w:rFonts w:cs="Times New Roman"/>
                <w:color w:val="auto"/>
              </w:rPr>
            </w:pPr>
            <w:r>
              <w:rPr>
                <w:rFonts w:cs="Times New Roman"/>
                <w:color w:val="auto"/>
              </w:rPr>
              <w:t>一般性成规模生产、制造等产业；</w:t>
            </w:r>
          </w:p>
          <w:p>
            <w:pPr>
              <w:pStyle w:val="31"/>
              <w:numPr>
                <w:ilvl w:val="0"/>
                <w:numId w:val="2"/>
              </w:numPr>
              <w:jc w:val="left"/>
              <w:rPr>
                <w:rFonts w:cs="Times New Roman"/>
                <w:color w:val="auto"/>
              </w:rPr>
            </w:pPr>
            <w:r>
              <w:rPr>
                <w:rFonts w:cs="Times New Roman"/>
                <w:color w:val="auto"/>
                <w:lang w:val="en-US"/>
              </w:rPr>
              <w:t>能耗大、</w:t>
            </w:r>
            <w:r>
              <w:rPr>
                <w:rFonts w:cs="Times New Roman"/>
                <w:color w:val="auto"/>
              </w:rPr>
              <w:t>用水量大、废水产生量大的项目；</w:t>
            </w:r>
          </w:p>
        </w:tc>
      </w:tr>
      <w:tr>
        <w:tblPrEx>
          <w:tblCellMar>
            <w:top w:w="0" w:type="dxa"/>
            <w:left w:w="0" w:type="dxa"/>
            <w:bottom w:w="0" w:type="dxa"/>
            <w:right w:w="0" w:type="dxa"/>
          </w:tblCellMar>
        </w:tblPrEx>
        <w:trPr>
          <w:trHeight w:val="1056" w:hRule="atLeast"/>
          <w:jc w:val="center"/>
        </w:trPr>
        <w:tc>
          <w:tcPr>
            <w:tcW w:w="1798" w:type="dxa"/>
            <w:tcBorders>
              <w:top w:val="single" w:color="000000" w:sz="4" w:space="0"/>
              <w:left w:val="single" w:color="000000" w:sz="4" w:space="0"/>
              <w:bottom w:val="single" w:color="000000" w:sz="4" w:space="0"/>
              <w:right w:val="single" w:color="000000" w:sz="4" w:space="0"/>
            </w:tcBorders>
            <w:vAlign w:val="center"/>
          </w:tcPr>
          <w:p>
            <w:pPr>
              <w:pStyle w:val="31"/>
              <w:rPr>
                <w:rFonts w:cs="Times New Roman"/>
                <w:color w:val="auto"/>
              </w:rPr>
            </w:pPr>
            <w:r>
              <w:rPr>
                <w:rFonts w:cs="Times New Roman"/>
                <w:color w:val="auto"/>
              </w:rPr>
              <w:t>禁止进入</w:t>
            </w:r>
          </w:p>
        </w:tc>
        <w:tc>
          <w:tcPr>
            <w:tcW w:w="7490" w:type="dxa"/>
            <w:tcBorders>
              <w:top w:val="single" w:color="000000" w:sz="4" w:space="0"/>
              <w:left w:val="single" w:color="000000" w:sz="4" w:space="0"/>
              <w:bottom w:val="single" w:color="000000" w:sz="4" w:space="0"/>
              <w:right w:val="single" w:color="000000" w:sz="4" w:space="0"/>
            </w:tcBorders>
            <w:vAlign w:val="center"/>
          </w:tcPr>
          <w:p>
            <w:pPr>
              <w:pStyle w:val="31"/>
              <w:jc w:val="left"/>
              <w:rPr>
                <w:rFonts w:cs="Times New Roman"/>
                <w:color w:val="auto"/>
                <w:spacing w:val="-3"/>
              </w:rPr>
            </w:pPr>
            <w:r>
              <w:rPr>
                <w:rFonts w:cs="Times New Roman"/>
                <w:color w:val="auto"/>
                <w:spacing w:val="-3"/>
              </w:rPr>
              <w:t>一、生产工艺落后、单位产品水耗能耗大、污染物排放量大等污染严重的项目；</w:t>
            </w:r>
          </w:p>
          <w:p>
            <w:pPr>
              <w:pStyle w:val="31"/>
              <w:jc w:val="left"/>
              <w:rPr>
                <w:rFonts w:cs="Times New Roman"/>
                <w:color w:val="auto"/>
                <w:spacing w:val="-3"/>
              </w:rPr>
            </w:pPr>
            <w:r>
              <w:rPr>
                <w:rFonts w:cs="Times New Roman"/>
                <w:color w:val="auto"/>
                <w:spacing w:val="-3"/>
              </w:rPr>
              <w:t>二、《产业结构调整指导目录（201</w:t>
            </w:r>
            <w:r>
              <w:rPr>
                <w:rFonts w:cs="Times New Roman"/>
                <w:color w:val="auto"/>
                <w:spacing w:val="-3"/>
                <w:lang w:val="en-US"/>
              </w:rPr>
              <w:t>9</w:t>
            </w:r>
            <w:r>
              <w:rPr>
                <w:rFonts w:cs="Times New Roman"/>
                <w:color w:val="auto"/>
                <w:spacing w:val="-3"/>
              </w:rPr>
              <w:t>年本）》和《广东省产业结构调整指导目录（2007 年本）》中明确淘汰的产业，以及国家明令禁止建设的、对环境和资源均造成较大危害的“十五小”项目，以及其他禁止建设的项目；</w:t>
            </w:r>
          </w:p>
          <w:p>
            <w:pPr>
              <w:pStyle w:val="31"/>
              <w:jc w:val="left"/>
              <w:rPr>
                <w:rFonts w:cs="Times New Roman"/>
                <w:color w:val="auto"/>
                <w:spacing w:val="-3"/>
                <w:lang w:val="en-US"/>
              </w:rPr>
            </w:pPr>
            <w:r>
              <w:rPr>
                <w:rFonts w:cs="Times New Roman"/>
                <w:color w:val="auto"/>
                <w:spacing w:val="-3"/>
              </w:rPr>
              <w:t>三、</w:t>
            </w:r>
            <w:r>
              <w:rPr>
                <w:rFonts w:cs="Times New Roman"/>
                <w:color w:val="auto"/>
                <w:spacing w:val="-3"/>
                <w:lang w:val="en-US"/>
              </w:rPr>
              <w:t>不符合新型产业用地准入条件的产业；</w:t>
            </w:r>
          </w:p>
          <w:p>
            <w:pPr>
              <w:pStyle w:val="31"/>
              <w:jc w:val="left"/>
              <w:rPr>
                <w:rFonts w:cs="Times New Roman"/>
                <w:color w:val="auto"/>
                <w:spacing w:val="-3"/>
                <w:lang w:val="en-US"/>
              </w:rPr>
            </w:pPr>
            <w:r>
              <w:rPr>
                <w:rFonts w:cs="Times New Roman"/>
                <w:color w:val="auto"/>
                <w:spacing w:val="-3"/>
                <w:lang w:val="en-US"/>
              </w:rPr>
              <w:t>四、禁止引入排放重金属或持久性有机污染物的生产工序或项目；</w:t>
            </w:r>
          </w:p>
          <w:p>
            <w:pPr>
              <w:pStyle w:val="31"/>
              <w:jc w:val="left"/>
              <w:rPr>
                <w:rFonts w:cs="Times New Roman"/>
                <w:color w:val="auto"/>
                <w:spacing w:val="-3"/>
                <w:lang w:val="en-US"/>
              </w:rPr>
            </w:pPr>
            <w:r>
              <w:rPr>
                <w:rFonts w:cs="Times New Roman"/>
                <w:color w:val="auto"/>
                <w:spacing w:val="-3"/>
                <w:lang w:val="en-US"/>
              </w:rPr>
              <w:t>五、禁止引入电镀、热处理、铸造、前处理、电泳等重污染生产工序的项目；</w:t>
            </w:r>
          </w:p>
          <w:p>
            <w:pPr>
              <w:pStyle w:val="31"/>
              <w:jc w:val="left"/>
              <w:rPr>
                <w:rFonts w:cs="Times New Roman"/>
                <w:color w:val="auto"/>
                <w:spacing w:val="-3"/>
                <w:lang w:val="en-US"/>
              </w:rPr>
            </w:pPr>
            <w:r>
              <w:rPr>
                <w:rFonts w:cs="Times New Roman"/>
                <w:color w:val="auto"/>
                <w:spacing w:val="-3"/>
                <w:lang w:val="en-US"/>
              </w:rPr>
              <w:t>六、</w:t>
            </w:r>
            <w:r>
              <w:rPr>
                <w:rFonts w:cs="Times New Roman"/>
                <w:color w:val="auto"/>
              </w:rPr>
              <w:t>采用毒性大、危害性大原辅料的项目；</w:t>
            </w:r>
          </w:p>
          <w:p>
            <w:pPr>
              <w:pStyle w:val="31"/>
              <w:jc w:val="left"/>
              <w:rPr>
                <w:rFonts w:cs="Times New Roman"/>
                <w:color w:val="auto"/>
              </w:rPr>
            </w:pPr>
            <w:r>
              <w:rPr>
                <w:rFonts w:cs="Times New Roman"/>
                <w:color w:val="auto"/>
                <w:spacing w:val="-3"/>
                <w:lang w:val="en-US"/>
              </w:rPr>
              <w:t>七</w:t>
            </w:r>
            <w:r>
              <w:rPr>
                <w:rFonts w:cs="Times New Roman"/>
                <w:color w:val="auto"/>
                <w:spacing w:val="-3"/>
              </w:rPr>
              <w:t>、达不到清洁生产先进水平要求的项目。</w:t>
            </w:r>
          </w:p>
        </w:tc>
      </w:tr>
    </w:tbl>
    <w:p>
      <w:pPr>
        <w:adjustRightInd w:val="0"/>
        <w:ind w:firstLine="0" w:firstLineChars="0"/>
        <w:rPr>
          <w:rFonts w:ascii="宋体" w:hAnsi="宋体" w:cs="宋体"/>
          <w:color w:val="auto"/>
        </w:rPr>
      </w:pPr>
    </w:p>
    <w:p>
      <w:pPr>
        <w:ind w:firstLine="480"/>
        <w:rPr>
          <w:color w:val="auto"/>
        </w:rPr>
      </w:pPr>
    </w:p>
    <w:p>
      <w:pPr>
        <w:ind w:firstLine="48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adjustRightInd w:val="0"/>
        <w:spacing w:beforeLines="100" w:afterLines="100"/>
        <w:ind w:firstLine="0" w:firstLineChars="0"/>
        <w:jc w:val="center"/>
        <w:outlineLvl w:val="0"/>
        <w:rPr>
          <w:b/>
          <w:color w:val="auto"/>
          <w:sz w:val="32"/>
          <w:szCs w:val="32"/>
        </w:rPr>
      </w:pPr>
      <w:bookmarkStart w:id="26" w:name="_Toc11437"/>
      <w:bookmarkStart w:id="27" w:name="_Toc18771591"/>
      <w:r>
        <w:rPr>
          <w:rFonts w:hint="eastAsia"/>
          <w:b/>
          <w:color w:val="auto"/>
          <w:sz w:val="32"/>
          <w:szCs w:val="32"/>
        </w:rPr>
        <w:t>6环境影响减缓对策和措施</w:t>
      </w:r>
      <w:bookmarkEnd w:id="26"/>
      <w:bookmarkEnd w:id="27"/>
    </w:p>
    <w:p>
      <w:pPr>
        <w:adjustRightInd w:val="0"/>
        <w:spacing w:beforeLines="50" w:afterLines="50"/>
        <w:ind w:firstLine="0" w:firstLineChars="0"/>
        <w:jc w:val="left"/>
        <w:outlineLvl w:val="1"/>
        <w:rPr>
          <w:b/>
          <w:color w:val="auto"/>
          <w:sz w:val="28"/>
          <w:szCs w:val="28"/>
        </w:rPr>
      </w:pPr>
      <w:bookmarkStart w:id="28" w:name="_Toc32581"/>
      <w:r>
        <w:rPr>
          <w:b/>
          <w:color w:val="auto"/>
          <w:sz w:val="28"/>
          <w:szCs w:val="28"/>
        </w:rPr>
        <w:t>6.1水污染防治措施</w:t>
      </w:r>
      <w:bookmarkEnd w:id="28"/>
    </w:p>
    <w:p>
      <w:pPr>
        <w:ind w:firstLine="480"/>
        <w:rPr>
          <w:rFonts w:hint="eastAsia" w:eastAsia="宋体"/>
          <w:color w:val="auto"/>
          <w:lang w:eastAsia="zh-CN"/>
        </w:rPr>
      </w:pPr>
      <w:r>
        <w:rPr>
          <w:rFonts w:hint="eastAsia"/>
          <w:color w:val="auto"/>
          <w:lang w:val="en-US" w:eastAsia="zh-CN"/>
        </w:rPr>
        <w:t>一、</w:t>
      </w:r>
      <w:r>
        <w:rPr>
          <w:rFonts w:hint="eastAsia"/>
          <w:color w:val="auto"/>
        </w:rPr>
        <w:t>规划区水环境减缓措施</w:t>
      </w:r>
    </w:p>
    <w:p>
      <w:pPr>
        <w:ind w:firstLine="480"/>
        <w:rPr>
          <w:color w:val="auto"/>
        </w:rPr>
      </w:pPr>
      <w:r>
        <w:rPr>
          <w:color w:val="auto"/>
        </w:rPr>
        <w:t>1、节水降耗，减少排污量</w:t>
      </w:r>
    </w:p>
    <w:p>
      <w:pPr>
        <w:ind w:firstLine="480"/>
        <w:rPr>
          <w:color w:val="auto"/>
        </w:rPr>
      </w:pPr>
      <w:r>
        <w:rPr>
          <w:color w:val="auto"/>
        </w:rPr>
        <w:t>（1）合理引进入园项目，高质发展</w:t>
      </w:r>
    </w:p>
    <w:p>
      <w:pPr>
        <w:ind w:firstLine="480"/>
        <w:rPr>
          <w:color w:val="auto"/>
        </w:rPr>
      </w:pPr>
      <w:r>
        <w:rPr>
          <w:color w:val="auto"/>
        </w:rPr>
        <w:t>必须严格审批进区项目，坚持发展技术含量高、经济效益好、资源消耗低和低污染项目。引进产业需符合《关于印发&lt;广州开发区规划和自然资源局（广州市规划和自然资源局黄埔区分局）关于新型产业用地与产业园区功能配比的指导意见（试行）&gt;的通知》（穗开规划资源规字〔2019〕1号）中新型产业要求。</w:t>
      </w:r>
    </w:p>
    <w:p>
      <w:pPr>
        <w:ind w:firstLine="480"/>
        <w:rPr>
          <w:color w:val="auto"/>
        </w:rPr>
      </w:pPr>
      <w:r>
        <w:rPr>
          <w:color w:val="auto"/>
        </w:rPr>
        <w:t>（2）工业节水，积极推行水资源循环利用</w:t>
      </w:r>
    </w:p>
    <w:p>
      <w:pPr>
        <w:ind w:firstLine="480"/>
        <w:rPr>
          <w:color w:val="auto"/>
        </w:rPr>
      </w:pPr>
      <w:r>
        <w:rPr>
          <w:color w:val="auto"/>
        </w:rPr>
        <w:t>工业水污染防治最有效最合理的方法是节约用水，提高水资源的利用率。本规划区工业要注重发展不用水或少用水的产业和生产工艺，发展循环用水、一水多用和废水回收再用等技术。企业在厂房建设过程中产生的生产废水（例如施工冲洗水）经临时沉淀池沉淀后，回用于施工现场。</w:t>
      </w:r>
    </w:p>
    <w:p>
      <w:pPr>
        <w:ind w:firstLine="480"/>
        <w:rPr>
          <w:color w:val="auto"/>
        </w:rPr>
      </w:pPr>
      <w:r>
        <w:rPr>
          <w:color w:val="auto"/>
        </w:rPr>
        <w:t>（3）城镇生活用水提倡节约</w:t>
      </w:r>
    </w:p>
    <w:p>
      <w:pPr>
        <w:ind w:firstLine="480"/>
        <w:rPr>
          <w:color w:val="auto"/>
        </w:rPr>
      </w:pPr>
      <w:r>
        <w:rPr>
          <w:rFonts w:hint="eastAsia" w:ascii="宋体" w:hAnsi="宋体" w:cs="宋体"/>
          <w:color w:val="auto"/>
        </w:rPr>
        <w:t>①</w:t>
      </w:r>
      <w:r>
        <w:rPr>
          <w:color w:val="auto"/>
        </w:rPr>
        <w:t>采用先进节水技术：根据《节水型社会十三五规划》（2017年1月实施），采用先进节水技术，减少无效或低效耗水，更新改造冲厕和洗浴设施，推广节水器具使用；加强服务业节水，合理限制高耗水服务行业用水。</w:t>
      </w:r>
    </w:p>
    <w:p>
      <w:pPr>
        <w:ind w:firstLine="480"/>
        <w:rPr>
          <w:color w:val="auto"/>
        </w:rPr>
      </w:pPr>
      <w:r>
        <w:rPr>
          <w:rFonts w:hint="eastAsia" w:ascii="宋体" w:hAnsi="宋体" w:cs="宋体"/>
          <w:color w:val="auto"/>
        </w:rPr>
        <w:t>②</w:t>
      </w:r>
      <w:r>
        <w:rPr>
          <w:color w:val="auto"/>
        </w:rPr>
        <w:t>中水应用：根据九龙水质净化一厂回用水水质，鼓励规划区进一步推广中水应用，鼓励引导企业生活区、服务设施中水利用，主要用于冲厕、道路冲洗、城市绿化、消防杂用水等；中水还可回用于建筑施工，用于施工现场灰尘抑制、车辆冲洗等。</w:t>
      </w:r>
    </w:p>
    <w:p>
      <w:pPr>
        <w:ind w:firstLine="480"/>
        <w:rPr>
          <w:color w:val="auto"/>
        </w:rPr>
      </w:pPr>
      <w:r>
        <w:rPr>
          <w:color w:val="auto"/>
        </w:rPr>
        <w:t>2、雨污分流</w:t>
      </w:r>
    </w:p>
    <w:p>
      <w:pPr>
        <w:ind w:firstLine="480"/>
        <w:rPr>
          <w:color w:val="auto"/>
        </w:rPr>
      </w:pPr>
      <w:r>
        <w:rPr>
          <w:color w:val="auto"/>
        </w:rPr>
        <w:t>雨污分流的排水体制可减少污染，减少对九龙水质净化一厂的冲击。</w:t>
      </w:r>
      <w:r>
        <w:rPr>
          <w:rFonts w:hint="eastAsia"/>
          <w:color w:val="auto"/>
        </w:rPr>
        <w:t>雨水采用就近排放原则，由敷设的雨水管分别汇集流入规划区周边河流</w:t>
      </w:r>
      <w:r>
        <w:rPr>
          <w:color w:val="auto"/>
        </w:rPr>
        <w:t>。</w:t>
      </w:r>
    </w:p>
    <w:p>
      <w:pPr>
        <w:ind w:firstLine="480"/>
        <w:rPr>
          <w:color w:val="auto"/>
        </w:rPr>
      </w:pPr>
      <w:r>
        <w:rPr>
          <w:color w:val="auto"/>
        </w:rPr>
        <w:t>3、加快污水管网的建设进度</w:t>
      </w:r>
    </w:p>
    <w:p>
      <w:pPr>
        <w:ind w:firstLine="480"/>
        <w:rPr>
          <w:color w:val="auto"/>
        </w:rPr>
      </w:pPr>
      <w:r>
        <w:rPr>
          <w:color w:val="auto"/>
        </w:rPr>
        <w:t>加快规划区地块污水收集管网的建设。在园区污水收集管网系统未完善前，暂缓引进管网未完善区域排放废水的建设项目。</w:t>
      </w:r>
    </w:p>
    <w:p>
      <w:pPr>
        <w:ind w:firstLine="480"/>
        <w:rPr>
          <w:color w:val="auto"/>
        </w:rPr>
      </w:pPr>
      <w:r>
        <w:rPr>
          <w:color w:val="auto"/>
        </w:rPr>
        <w:t>4、九龙水质净化一厂污水集中处理达标排放</w:t>
      </w:r>
    </w:p>
    <w:p>
      <w:pPr>
        <w:ind w:firstLine="480"/>
        <w:rPr>
          <w:color w:val="auto"/>
        </w:rPr>
      </w:pPr>
      <w:r>
        <w:rPr>
          <w:color w:val="auto"/>
        </w:rPr>
        <w:t>加强对区域内排污单位的监管，对于纳污范围内工业企业，根据各行业废水特点，严格要求，各企业废水排入污水管网前需预处理达标。</w:t>
      </w:r>
    </w:p>
    <w:p>
      <w:pPr>
        <w:ind w:firstLine="480"/>
        <w:rPr>
          <w:color w:val="auto"/>
        </w:rPr>
      </w:pPr>
      <w:r>
        <w:rPr>
          <w:rFonts w:eastAsiaTheme="minorEastAsia"/>
          <w:color w:val="auto"/>
        </w:rPr>
        <w:t>5</w:t>
      </w:r>
      <w:r>
        <w:rPr>
          <w:color w:val="auto"/>
        </w:rPr>
        <w:t>、加强区域污染削减措施</w:t>
      </w:r>
    </w:p>
    <w:p>
      <w:pPr>
        <w:ind w:firstLine="480"/>
        <w:rPr>
          <w:color w:val="auto"/>
        </w:rPr>
      </w:pPr>
      <w:r>
        <w:rPr>
          <w:color w:val="auto"/>
        </w:rPr>
        <w:t>为减少规划区废水排放对当地的污染，把规划区的排放总量控制在凤凰河的安全环境容量之内，必须实行当地主管部门、规划区、企业三个层次的排污总量控制：当地主管部门需加快纳污水体同为凤凰河的九龙水质净化一厂纳污范围内污水处理系统及配套管网的建设；规划区需开展垃圾清运专项治理，避免垃圾乱扔污染河道等；各企业需对自身废水排放监督管理，开展清洁生产，优化生产工艺，避免工业污染转移。</w:t>
      </w:r>
    </w:p>
    <w:p>
      <w:pPr>
        <w:ind w:firstLine="480"/>
        <w:rPr>
          <w:color w:val="auto"/>
        </w:rPr>
      </w:pPr>
      <w:r>
        <w:rPr>
          <w:rFonts w:hint="eastAsia"/>
          <w:color w:val="auto"/>
          <w:lang w:val="en-US" w:eastAsia="zh-CN"/>
        </w:rPr>
        <w:t>二、</w:t>
      </w:r>
      <w:r>
        <w:rPr>
          <w:rFonts w:hint="eastAsia"/>
          <w:color w:val="auto"/>
        </w:rPr>
        <w:t>风险防范措施</w:t>
      </w:r>
    </w:p>
    <w:p>
      <w:pPr>
        <w:ind w:firstLine="480"/>
        <w:rPr>
          <w:color w:val="auto"/>
        </w:rPr>
      </w:pPr>
      <w:bookmarkStart w:id="29" w:name="_Hlk20733819"/>
      <w:r>
        <w:rPr>
          <w:color w:val="auto"/>
        </w:rPr>
        <w:t>九龙水质净化一厂防范措施：采用双路供电，水泵设计考虑备用，机械设备采用性能可靠的优质产品。对九龙水质净化一厂关键设备均配套备用装置。</w:t>
      </w:r>
      <w:bookmarkEnd w:id="29"/>
      <w:r>
        <w:rPr>
          <w:color w:val="auto"/>
        </w:rPr>
        <w:t>在排水出口设置应急闸门，在出现事故风险时关闭闸门，待故障排除后再即行处理达标排放。</w:t>
      </w:r>
    </w:p>
    <w:p>
      <w:pPr>
        <w:ind w:firstLine="480"/>
        <w:rPr>
          <w:color w:val="auto"/>
        </w:rPr>
      </w:pPr>
      <w:r>
        <w:rPr>
          <w:rFonts w:hint="eastAsia"/>
          <w:color w:val="auto"/>
          <w:lang w:val="en-US" w:eastAsia="zh-CN"/>
        </w:rPr>
        <w:t>三、地下水污染防治</w:t>
      </w:r>
      <w:r>
        <w:rPr>
          <w:rFonts w:hint="eastAsia"/>
          <w:color w:val="auto"/>
        </w:rPr>
        <w:t>措施</w:t>
      </w:r>
    </w:p>
    <w:p>
      <w:pPr>
        <w:ind w:firstLine="480"/>
        <w:rPr>
          <w:color w:val="auto"/>
        </w:rPr>
      </w:pPr>
      <w:r>
        <w:rPr>
          <w:color w:val="auto"/>
        </w:rPr>
        <w:t>为防止规划区运营期间产生的污染物以及含污介质的下渗对区域地下水造成污染，应从规划区各企业的原料产品的储存、装卸、运输、生产、污染处理措施等各个环节和过程进行有效控制，避免污染物泄/渗漏，同时对可能会泄漏到地表的区域采取一定的防渗措施。从而从源头到末端全方位采取有效控制措施。</w:t>
      </w:r>
    </w:p>
    <w:p>
      <w:pPr>
        <w:ind w:firstLine="480"/>
        <w:rPr>
          <w:color w:val="auto"/>
        </w:rPr>
      </w:pPr>
      <w:r>
        <w:rPr>
          <w:color w:val="auto"/>
        </w:rPr>
        <w:t>（1）源头控制措施：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pPr>
        <w:ind w:firstLine="480"/>
        <w:rPr>
          <w:color w:val="auto"/>
        </w:rPr>
      </w:pPr>
      <w:r>
        <w:rPr>
          <w:color w:val="auto"/>
        </w:rPr>
        <w:t>（2）末端控制措施：主要包括厂内污染区地面的防渗措施和泄漏、渗漏污染物收集措施，即在污染区地面进行防渗处理，防止洒落地面的污染物渗入地下，并把滞留在地面的污染物收集起来，集中送至相应场所处理；末端控制主要是采取分区防渗，重点污染防治区、一般污染防治区和非污染区防渗措施有区别的防渗原则。</w:t>
      </w:r>
    </w:p>
    <w:p>
      <w:pPr>
        <w:adjustRightInd w:val="0"/>
        <w:spacing w:beforeLines="50" w:afterLines="50"/>
        <w:ind w:firstLine="0" w:firstLineChars="0"/>
        <w:jc w:val="left"/>
        <w:outlineLvl w:val="1"/>
        <w:rPr>
          <w:rFonts w:hint="eastAsia" w:eastAsia="宋体"/>
          <w:b/>
          <w:color w:val="auto"/>
          <w:sz w:val="28"/>
          <w:szCs w:val="28"/>
          <w:lang w:eastAsia="zh-CN"/>
        </w:rPr>
      </w:pPr>
      <w:bookmarkStart w:id="30" w:name="_Toc32020"/>
      <w:r>
        <w:rPr>
          <w:rFonts w:hint="eastAsia"/>
          <w:b/>
          <w:color w:val="auto"/>
          <w:sz w:val="28"/>
          <w:szCs w:val="28"/>
        </w:rPr>
        <w:t>6.</w:t>
      </w:r>
      <w:r>
        <w:rPr>
          <w:b/>
          <w:color w:val="auto"/>
          <w:sz w:val="28"/>
          <w:szCs w:val="28"/>
        </w:rPr>
        <w:t>2</w:t>
      </w:r>
      <w:r>
        <w:rPr>
          <w:rFonts w:hint="eastAsia"/>
          <w:b/>
          <w:color w:val="auto"/>
          <w:sz w:val="28"/>
          <w:szCs w:val="28"/>
        </w:rPr>
        <w:t>大气污染防治措施</w:t>
      </w:r>
      <w:bookmarkEnd w:id="30"/>
    </w:p>
    <w:p>
      <w:pPr>
        <w:adjustRightInd w:val="0"/>
        <w:ind w:firstLine="480"/>
        <w:jc w:val="left"/>
        <w:rPr>
          <w:color w:val="auto"/>
        </w:rPr>
      </w:pPr>
      <w:r>
        <w:rPr>
          <w:color w:val="auto"/>
        </w:rPr>
        <w:t>对于规划区新建项目应当从源头上进行污染综合治理，严格执行项目审批制度和程序，对于资源消耗高、污染物排放量大、污染治理水平低和效益差的企业严禁入驻园区</w:t>
      </w:r>
      <w:r>
        <w:rPr>
          <w:rFonts w:hint="eastAsia"/>
          <w:color w:val="auto"/>
        </w:rPr>
        <w:t>；强化规划区环境监管，优化布局，区内各类企业应按照环评要求设置环境防护距离，并适当设置绿化隔离带；加强施工扬尘综合防控；加强车辆尾气及道路扬尘控制措施；餐饮行业按要求设置油烟净化装置达标排放；</w:t>
      </w:r>
      <w:r>
        <w:rPr>
          <w:color w:val="auto"/>
          <w:szCs w:val="20"/>
        </w:rPr>
        <w:t>合理地分配规划区内点源和面源排污量，实现大气污染物排放总量上的控制</w:t>
      </w:r>
      <w:r>
        <w:rPr>
          <w:rFonts w:hint="eastAsia"/>
          <w:color w:val="auto"/>
          <w:szCs w:val="20"/>
        </w:rPr>
        <w:t>；</w:t>
      </w:r>
      <w:r>
        <w:rPr>
          <w:color w:val="auto"/>
          <w:szCs w:val="20"/>
        </w:rPr>
        <w:t>严格控制特征大气污染物的排放。在开展入园项目环评时，应采用关注具体项目大气污染物特征</w:t>
      </w:r>
      <w:r>
        <w:rPr>
          <w:rFonts w:hint="eastAsia"/>
          <w:color w:val="auto"/>
          <w:szCs w:val="20"/>
        </w:rPr>
        <w:t>。</w:t>
      </w:r>
    </w:p>
    <w:p>
      <w:pPr>
        <w:adjustRightInd w:val="0"/>
        <w:spacing w:beforeLines="50" w:afterLines="50"/>
        <w:ind w:firstLine="0" w:firstLineChars="0"/>
        <w:jc w:val="left"/>
        <w:outlineLvl w:val="1"/>
        <w:rPr>
          <w:rFonts w:hint="eastAsia" w:eastAsia="宋体"/>
          <w:b/>
          <w:color w:val="auto"/>
          <w:sz w:val="28"/>
          <w:szCs w:val="28"/>
          <w:lang w:eastAsia="zh-CN"/>
        </w:rPr>
      </w:pPr>
      <w:bookmarkStart w:id="31" w:name="_Toc24088"/>
      <w:r>
        <w:rPr>
          <w:b/>
          <w:color w:val="auto"/>
          <w:sz w:val="28"/>
          <w:szCs w:val="28"/>
        </w:rPr>
        <w:t>6.3声污染减缓措施</w:t>
      </w:r>
      <w:bookmarkEnd w:id="31"/>
    </w:p>
    <w:p>
      <w:pPr>
        <w:adjustRightInd w:val="0"/>
        <w:ind w:firstLine="480"/>
        <w:jc w:val="left"/>
        <w:rPr>
          <w:rFonts w:ascii="宋体" w:hAnsi="宋体" w:cs="宋体"/>
          <w:color w:val="auto"/>
        </w:rPr>
      </w:pPr>
      <w:r>
        <w:rPr>
          <w:rFonts w:hint="eastAsia" w:ascii="宋体" w:hAnsi="宋体" w:cs="宋体"/>
          <w:color w:val="auto"/>
        </w:rPr>
        <w:t>加强工业企业噪声污染的防治与管理，加强建筑施工噪声管理，加强交通噪声防治和管理，控制社会噪声污染，利用绿化隔离带有效控制噪声污染。</w:t>
      </w:r>
    </w:p>
    <w:p>
      <w:pPr>
        <w:adjustRightInd w:val="0"/>
        <w:spacing w:beforeLines="50" w:afterLines="50"/>
        <w:ind w:firstLine="0" w:firstLineChars="0"/>
        <w:jc w:val="left"/>
        <w:outlineLvl w:val="1"/>
        <w:rPr>
          <w:rFonts w:hint="eastAsia" w:ascii="宋体" w:hAnsi="宋体" w:eastAsia="宋体" w:cs="宋体"/>
          <w:b/>
          <w:color w:val="auto"/>
          <w:sz w:val="28"/>
          <w:szCs w:val="28"/>
          <w:lang w:eastAsia="zh-CN"/>
        </w:rPr>
      </w:pPr>
      <w:bookmarkStart w:id="32" w:name="_Toc14888"/>
      <w:r>
        <w:rPr>
          <w:rFonts w:hint="eastAsia"/>
          <w:b/>
          <w:color w:val="auto"/>
          <w:sz w:val="28"/>
          <w:szCs w:val="28"/>
        </w:rPr>
        <w:t>6.4固废污染减缓措施</w:t>
      </w:r>
      <w:bookmarkEnd w:id="32"/>
    </w:p>
    <w:p>
      <w:pPr>
        <w:ind w:firstLine="480"/>
        <w:rPr>
          <w:rFonts w:hint="eastAsia" w:eastAsia="宋体"/>
          <w:color w:val="auto"/>
          <w:lang w:eastAsia="zh-CN"/>
        </w:rPr>
      </w:pPr>
      <w:r>
        <w:rPr>
          <w:rFonts w:hint="eastAsia"/>
          <w:color w:val="auto"/>
        </w:rPr>
        <w:t>（1）一般工业固废</w:t>
      </w:r>
    </w:p>
    <w:p>
      <w:pPr>
        <w:ind w:firstLine="480"/>
        <w:rPr>
          <w:color w:val="auto"/>
        </w:rPr>
      </w:pPr>
      <w:r>
        <w:rPr>
          <w:rFonts w:hint="eastAsia"/>
          <w:color w:val="auto"/>
        </w:rPr>
        <w:t>包括各类</w:t>
      </w:r>
      <w:r>
        <w:rPr>
          <w:rFonts w:hint="eastAsia"/>
          <w:color w:val="auto"/>
          <w:lang w:val="en-US" w:eastAsia="zh-CN"/>
        </w:rPr>
        <w:t>废五金等金属物、</w:t>
      </w:r>
      <w:r>
        <w:rPr>
          <w:rFonts w:cs="Times New Roman"/>
          <w:color w:val="auto"/>
        </w:rPr>
        <w:t>废纸、废塑料、废橡胶</w:t>
      </w:r>
      <w:r>
        <w:rPr>
          <w:rFonts w:hint="eastAsia"/>
          <w:color w:val="auto"/>
        </w:rPr>
        <w:t>等，可以通过一定的途径回收利用，不能回收利用的按照《一般工业固体废物贮存、处臵场污染控制标准》（GB18599-2001）要求进行贮存和处</w:t>
      </w:r>
      <w:r>
        <w:rPr>
          <w:rFonts w:hint="eastAsia"/>
          <w:color w:val="auto"/>
          <w:lang w:val="en-US" w:eastAsia="zh-CN"/>
        </w:rPr>
        <w:t>理</w:t>
      </w:r>
      <w:r>
        <w:rPr>
          <w:rFonts w:hint="eastAsia"/>
          <w:color w:val="auto"/>
        </w:rPr>
        <w:t>。</w:t>
      </w:r>
    </w:p>
    <w:p>
      <w:pPr>
        <w:ind w:firstLine="480"/>
        <w:rPr>
          <w:rFonts w:hint="eastAsia" w:eastAsia="宋体"/>
          <w:color w:val="auto"/>
          <w:lang w:eastAsia="zh-CN"/>
        </w:rPr>
      </w:pPr>
      <w:r>
        <w:rPr>
          <w:rFonts w:hint="eastAsia"/>
          <w:color w:val="auto"/>
        </w:rPr>
        <w:t>（2）危险废物</w:t>
      </w:r>
    </w:p>
    <w:p>
      <w:pPr>
        <w:ind w:firstLine="480"/>
        <w:rPr>
          <w:rFonts w:hint="eastAsia" w:eastAsia="宋体"/>
          <w:color w:val="auto"/>
          <w:lang w:eastAsia="zh-CN"/>
        </w:rPr>
      </w:pPr>
      <w:r>
        <w:rPr>
          <w:rFonts w:hint="eastAsia"/>
          <w:color w:val="auto"/>
        </w:rPr>
        <w:t>规划区产生的危险废物主要包括：</w:t>
      </w:r>
      <w:r>
        <w:rPr>
          <w:color w:val="auto"/>
        </w:rPr>
        <w:t>废机油、废机油桶</w:t>
      </w:r>
      <w:r>
        <w:rPr>
          <w:rFonts w:hint="eastAsia"/>
          <w:color w:val="auto"/>
        </w:rPr>
        <w:t>等。</w:t>
      </w:r>
    </w:p>
    <w:p>
      <w:pPr>
        <w:ind w:firstLine="480"/>
        <w:rPr>
          <w:rFonts w:hint="eastAsia" w:eastAsia="宋体"/>
          <w:color w:val="auto"/>
          <w:lang w:eastAsia="zh-CN"/>
        </w:rPr>
      </w:pPr>
      <w:r>
        <w:rPr>
          <w:rFonts w:hint="eastAsia"/>
          <w:color w:val="auto"/>
        </w:rPr>
        <w:t>危险废物的储存、转移应按照《危险废物贮存污染控制标准》（GB18597-2001）及2013年修改单的相关要求进行。</w:t>
      </w:r>
    </w:p>
    <w:p>
      <w:pPr>
        <w:ind w:firstLine="480"/>
        <w:rPr>
          <w:color w:val="auto"/>
        </w:rPr>
      </w:pPr>
      <w:r>
        <w:rPr>
          <w:rFonts w:hint="eastAsia"/>
          <w:color w:val="auto"/>
        </w:rPr>
        <w:t>危险废物的转运和处置：危险废物的处置、转运应按</w:t>
      </w:r>
      <w:r>
        <w:rPr>
          <w:color w:val="auto"/>
        </w:rPr>
        <w:t>《危险废物转移联单管理办法》</w:t>
      </w:r>
      <w:r>
        <w:rPr>
          <w:rFonts w:hint="eastAsia"/>
          <w:color w:val="auto"/>
        </w:rPr>
        <w:t>（</w:t>
      </w:r>
      <w:r>
        <w:rPr>
          <w:color w:val="auto"/>
        </w:rPr>
        <w:t>国家环境保护总局令</w:t>
      </w:r>
      <w:r>
        <w:rPr>
          <w:rFonts w:hint="eastAsia"/>
          <w:color w:val="auto"/>
        </w:rPr>
        <w:t>第5号）</w:t>
      </w:r>
      <w:r>
        <w:rPr>
          <w:color w:val="auto"/>
        </w:rPr>
        <w:t>、《广东省实施&lt;危险废物转移联单管理办法&gt;的规定》（1999年）、《广东省危险废物转移报告联单管理暂行规定》（1997年）</w:t>
      </w:r>
      <w:r>
        <w:rPr>
          <w:rFonts w:hint="eastAsia"/>
          <w:color w:val="auto"/>
        </w:rPr>
        <w:t>等有关规定执行。</w:t>
      </w:r>
    </w:p>
    <w:p>
      <w:pPr>
        <w:ind w:firstLine="480"/>
        <w:rPr>
          <w:color w:val="auto"/>
        </w:rPr>
      </w:pPr>
      <w:r>
        <w:rPr>
          <w:rFonts w:hint="eastAsia"/>
          <w:color w:val="auto"/>
        </w:rPr>
        <w:t>加强对危险固废的产生和处理的日常监察，对危险固废实行全过程的监控和管理。危险废物的集中处</w:t>
      </w:r>
      <w:r>
        <w:rPr>
          <w:rFonts w:hint="eastAsia"/>
          <w:color w:val="auto"/>
          <w:lang w:val="en-US" w:eastAsia="zh-CN"/>
        </w:rPr>
        <w:t>理</w:t>
      </w:r>
      <w:r>
        <w:rPr>
          <w:rFonts w:hint="eastAsia"/>
          <w:color w:val="auto"/>
        </w:rPr>
        <w:t>率要达到100%。</w:t>
      </w:r>
    </w:p>
    <w:p>
      <w:pPr>
        <w:ind w:firstLine="480"/>
        <w:rPr>
          <w:color w:val="auto"/>
        </w:rPr>
      </w:pPr>
      <w:r>
        <w:rPr>
          <w:rFonts w:hint="eastAsia"/>
          <w:color w:val="auto"/>
        </w:rPr>
        <w:t>（3）生活垃圾</w:t>
      </w:r>
    </w:p>
    <w:p>
      <w:pPr>
        <w:ind w:firstLine="480"/>
        <w:rPr>
          <w:color w:val="auto"/>
        </w:rPr>
      </w:pPr>
      <w:r>
        <w:rPr>
          <w:color w:val="auto"/>
          <w:szCs w:val="20"/>
        </w:rPr>
        <w:t>生活垃圾经过分类收集后由环卫部门统一外运处理</w:t>
      </w:r>
      <w:r>
        <w:rPr>
          <w:rFonts w:hint="eastAsia"/>
          <w:color w:val="auto"/>
        </w:rPr>
        <w:t>。</w:t>
      </w:r>
    </w:p>
    <w:p>
      <w:pPr>
        <w:ind w:firstLine="480"/>
        <w:rPr>
          <w:color w:val="auto"/>
        </w:rPr>
        <w:sectPr>
          <w:pgSz w:w="11906" w:h="16838"/>
          <w:pgMar w:top="1440" w:right="1800" w:bottom="1440" w:left="1800" w:header="851" w:footer="992" w:gutter="0"/>
          <w:cols w:space="425" w:num="1"/>
          <w:docGrid w:type="lines" w:linePitch="312" w:charSpace="0"/>
        </w:sectPr>
      </w:pPr>
    </w:p>
    <w:p>
      <w:pPr>
        <w:spacing w:beforeLines="100" w:afterLines="100"/>
        <w:ind w:firstLine="0" w:firstLineChars="0"/>
        <w:jc w:val="center"/>
        <w:outlineLvl w:val="0"/>
        <w:rPr>
          <w:b/>
          <w:color w:val="auto"/>
          <w:sz w:val="32"/>
          <w:szCs w:val="32"/>
        </w:rPr>
      </w:pPr>
      <w:bookmarkStart w:id="33" w:name="_Toc15695"/>
      <w:r>
        <w:rPr>
          <w:b/>
          <w:color w:val="auto"/>
          <w:sz w:val="32"/>
          <w:szCs w:val="32"/>
        </w:rPr>
        <w:t>7综合评价结论</w:t>
      </w:r>
      <w:bookmarkEnd w:id="33"/>
    </w:p>
    <w:p>
      <w:pPr>
        <w:ind w:firstLine="480"/>
        <w:rPr>
          <w:color w:val="auto"/>
        </w:rPr>
      </w:pPr>
      <w:r>
        <w:rPr>
          <w:color w:val="auto"/>
        </w:rPr>
        <w:t>中新广州知识城AG0622规划管理单元控制性详细规划调整</w:t>
      </w:r>
      <w:r>
        <w:rPr>
          <w:rFonts w:hint="eastAsia"/>
          <w:color w:val="auto"/>
        </w:rPr>
        <w:t>，</w:t>
      </w:r>
      <w:r>
        <w:rPr>
          <w:color w:val="auto"/>
        </w:rPr>
        <w:t>控规调整范围为AG0622规划管理单元中的AG0622017地块，地块位于规划开放大道以东、改革大道以西、智慧东路以南，宝能电池厂项目西南侧，</w:t>
      </w:r>
      <w:r>
        <w:rPr>
          <w:rFonts w:hint="eastAsia"/>
          <w:color w:val="auto"/>
        </w:rPr>
        <w:t>规划用地面积</w:t>
      </w:r>
      <w:r>
        <w:rPr>
          <w:rFonts w:hint="eastAsia"/>
          <w:color w:val="auto"/>
          <w:lang w:val="en-US" w:eastAsia="zh-CN"/>
        </w:rPr>
        <w:t>为70339m</w:t>
      </w:r>
      <w:r>
        <w:rPr>
          <w:rFonts w:hint="eastAsia"/>
          <w:color w:val="auto"/>
          <w:vertAlign w:val="superscript"/>
          <w:lang w:val="en-US" w:eastAsia="zh-CN"/>
        </w:rPr>
        <w:t>2</w:t>
      </w:r>
      <w:r>
        <w:rPr>
          <w:rFonts w:hint="eastAsia"/>
          <w:color w:val="auto"/>
        </w:rPr>
        <w:t>。控规</w:t>
      </w:r>
      <w:r>
        <w:rPr>
          <w:rFonts w:hint="eastAsia"/>
          <w:color w:val="auto"/>
          <w:lang w:val="en-US" w:eastAsia="zh-CN"/>
        </w:rPr>
        <w:t>调整</w:t>
      </w:r>
      <w:r>
        <w:rPr>
          <w:color w:val="auto"/>
        </w:rPr>
        <w:t>后</w:t>
      </w:r>
      <w:r>
        <w:rPr>
          <w:rFonts w:hint="eastAsia"/>
          <w:color w:val="auto"/>
        </w:rPr>
        <w:t>整体发展定位：</w:t>
      </w:r>
      <w:r>
        <w:rPr>
          <w:color w:val="auto"/>
        </w:rPr>
        <w:t>新能源汽车产业</w:t>
      </w:r>
      <w:r>
        <w:rPr>
          <w:rFonts w:hint="eastAsia"/>
          <w:color w:val="auto"/>
          <w:lang w:eastAsia="zh-CN"/>
        </w:rPr>
        <w:t>，</w:t>
      </w:r>
      <w:r>
        <w:rPr>
          <w:color w:val="auto"/>
        </w:rPr>
        <w:t>根据新能源产业“市场调研-理论研究-产品研发-调整调试-产品生产”的产业流程，划分产业孵化、研发、实验室、产业办公、综合服务区、中试生产车间等功能</w:t>
      </w:r>
      <w:r>
        <w:rPr>
          <w:rFonts w:hint="eastAsia"/>
          <w:color w:val="auto"/>
        </w:rPr>
        <w:t>。</w:t>
      </w:r>
    </w:p>
    <w:p>
      <w:pPr>
        <w:adjustRightInd w:val="0"/>
        <w:ind w:firstLine="480"/>
        <w:jc w:val="left"/>
        <w:rPr>
          <w:rFonts w:hint="eastAsia" w:ascii="宋体" w:hAnsi="宋体" w:eastAsia="宋体" w:cs="宋体"/>
          <w:color w:val="auto"/>
          <w:lang w:eastAsia="zh-CN"/>
        </w:rPr>
      </w:pPr>
      <w:r>
        <w:rPr>
          <w:rFonts w:hint="eastAsia" w:ascii="宋体" w:hAnsi="宋体" w:cs="宋体"/>
          <w:color w:val="auto"/>
        </w:rPr>
        <w:t>本评价经综合分析认为，总体上《</w:t>
      </w:r>
      <w:r>
        <w:rPr>
          <w:color w:val="auto"/>
        </w:rPr>
        <w:t>中新广州知识城AG0622规划管理单元控制性详细规划调整</w:t>
      </w:r>
      <w:r>
        <w:rPr>
          <w:rFonts w:hint="eastAsia" w:ascii="宋体" w:hAnsi="宋体" w:cs="宋体"/>
          <w:color w:val="auto"/>
        </w:rPr>
        <w:t>》在功能定位、产业导向、总体布局等方面基本合理。本环评要求在规划方案中进一步深化规划区项目引进、市政基础设施规划、环保规划等细化方案，同时规划实施过程中加快相关基础环保设施建设，严格落实有关环境保护对策和措施，切实加强污染风险防范，创新区域环境管理机制与体制，则本规划的实施，从环境保护角度而言是可行的。</w:t>
      </w:r>
    </w:p>
    <w:p>
      <w:pPr>
        <w:ind w:firstLine="480"/>
        <w:rPr>
          <w:color w:val="auto"/>
        </w:rPr>
      </w:pPr>
      <w:r>
        <w:rPr>
          <w:rFonts w:hint="eastAsia" w:ascii="宋体" w:hAnsi="宋体" w:cs="宋体"/>
          <w:color w:val="auto"/>
        </w:rPr>
        <w:t>由于规划实施过程中将经历各种不确定性和多变性因素的影响，在开发过程中必将出现新问题，今后环境影响复杂而深远，建议定期开展回顾性评价，及时修正规划不足，从而保证本规划的顺利实施。</w:t>
      </w:r>
    </w:p>
    <w:p>
      <w:pPr>
        <w:ind w:firstLine="480"/>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Noto Sans CJK JP Regular">
    <w:altName w:val="Arial"/>
    <w:panose1 w:val="00000000000000000000"/>
    <w:charset w:val="00"/>
    <w:family w:val="swiss"/>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Arial Unicode MS"/>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ind w:firstLine="480"/>
    </w:pPr>
    <w:r>
      <w:fldChar w:fldCharType="begin"/>
    </w:r>
    <w:r>
      <w:instrText xml:space="preserve">PAGE  </w:instrText>
    </w:r>
    <w:r>
      <w:fldChar w:fldCharType="end"/>
    </w: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path/>
          <v:fill on="f" focussize="0,0"/>
          <v:stroke on="f" weight="0.5pt" joinstyle="miter"/>
          <v:imagedata o:title=""/>
          <o:lock v:ext="edit"/>
          <v:textbox inset="0mm,0mm,0mm,0mm" style="mso-fit-shape-to-text:t;">
            <w:txbxContent>
              <w:p>
                <w:pPr>
                  <w:pStyle w:val="8"/>
                  <w:ind w:firstLine="360"/>
                </w:pPr>
                <w:r>
                  <w:fldChar w:fldCharType="begin"/>
                </w:r>
                <w:r>
                  <w:instrText xml:space="preserve"> PAGE  \* MERGEFORMAT </w:instrText>
                </w:r>
                <w:r>
                  <w:fldChar w:fldCharType="separate"/>
                </w:r>
                <w:r>
                  <w:t>24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ind w:firstLine="480"/>
      <w:jc w:val="distribute"/>
      <w:rPr>
        <w:rFonts w:ascii="楷体_GB2312" w:eastAsia="楷体_GB2312"/>
        <w:szCs w:val="21"/>
      </w:rPr>
    </w:pPr>
    <w:r>
      <w:rPr>
        <w:rFonts w:hint="eastAsia"/>
        <w:szCs w:val="21"/>
      </w:rPr>
      <w:t>·</w:t>
    </w:r>
    <w:r>
      <w:rPr>
        <w:szCs w:val="21"/>
      </w:rPr>
      <w:fldChar w:fldCharType="begin"/>
    </w:r>
    <w:r>
      <w:rPr>
        <w:szCs w:val="21"/>
      </w:rPr>
      <w:instrText xml:space="preserve"> PAGE </w:instrText>
    </w:r>
    <w:r>
      <w:rPr>
        <w:szCs w:val="21"/>
      </w:rPr>
      <w:fldChar w:fldCharType="separate"/>
    </w:r>
    <w:r>
      <w:rPr>
        <w:szCs w:val="21"/>
      </w:rPr>
      <w:t>88</w:t>
    </w:r>
    <w:r>
      <w:rPr>
        <w:szCs w:val="21"/>
      </w:rPr>
      <w:fldChar w:fldCharType="end"/>
    </w:r>
    <w:r>
      <w:rPr>
        <w:rFonts w:hint="eastAsia"/>
        <w:szCs w:val="21"/>
      </w:rPr>
      <w:t>·</w:t>
    </w:r>
    <w:r>
      <w:rPr>
        <w:szCs w:val="21"/>
      </w:rPr>
      <w:t xml:space="preserve">                                                   </w:t>
    </w:r>
    <w:r>
      <w:rPr>
        <w:rFonts w:hint="eastAsia" w:ascii="楷体_GB2312" w:eastAsia="楷体_GB2312"/>
        <w:szCs w:val="21"/>
      </w:rPr>
      <w:t>第八章</w:t>
    </w:r>
    <w:r>
      <w:rPr>
        <w:rFonts w:ascii="楷体_GB2312" w:eastAsia="楷体_GB2312"/>
        <w:szCs w:val="21"/>
      </w:rPr>
      <w:t xml:space="preserve"> </w:t>
    </w:r>
    <w:r>
      <w:rPr>
        <w:rFonts w:hint="eastAsia" w:ascii="楷体_GB2312" w:eastAsia="楷体_GB2312"/>
        <w:szCs w:val="21"/>
      </w:rPr>
      <w:t>污染防治措施评述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D3427"/>
    <w:multiLevelType w:val="singleLevel"/>
    <w:tmpl w:val="24AD3427"/>
    <w:lvl w:ilvl="0" w:tentative="0">
      <w:start w:val="1"/>
      <w:numFmt w:val="chineseCounting"/>
      <w:suff w:val="nothing"/>
      <w:lvlText w:val="%1、"/>
      <w:lvlJc w:val="left"/>
      <w:rPr>
        <w:rFonts w:hint="eastAsia"/>
      </w:rPr>
    </w:lvl>
  </w:abstractNum>
  <w:abstractNum w:abstractNumId="1">
    <w:nsid w:val="57A75FB4"/>
    <w:multiLevelType w:val="multilevel"/>
    <w:tmpl w:val="57A75FB4"/>
    <w:lvl w:ilvl="0" w:tentative="0">
      <w:start w:val="1"/>
      <w:numFmt w:val="decimal"/>
      <w:lvlText w:val="%1"/>
      <w:lvlJc w:val="left"/>
      <w:pPr>
        <w:ind w:left="432" w:hanging="432"/>
      </w:pPr>
    </w:lvl>
    <w:lvl w:ilvl="1" w:tentative="0">
      <w:start w:val="1"/>
      <w:numFmt w:val="decimal"/>
      <w:pStyle w:val="3"/>
      <w:lvlText w:val="%1.%2"/>
      <w:lvlJc w:val="left"/>
      <w:pPr>
        <w:ind w:left="576" w:hanging="576"/>
      </w:pPr>
      <w:rPr>
        <w:color w:val="auto"/>
      </w:r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val="1"/>
  <w:bordersDoNotSurroundHeader w:val="1"/>
  <w:bordersDoNotSurroundFooter w:val="1"/>
  <w:documentProtection w:edit="trackedChanges"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D1723"/>
    <w:rsid w:val="000205C1"/>
    <w:rsid w:val="000970A5"/>
    <w:rsid w:val="001B640A"/>
    <w:rsid w:val="001B65A4"/>
    <w:rsid w:val="001C3E9A"/>
    <w:rsid w:val="003C7D84"/>
    <w:rsid w:val="005C36BE"/>
    <w:rsid w:val="00603498"/>
    <w:rsid w:val="00614836"/>
    <w:rsid w:val="0061778F"/>
    <w:rsid w:val="0065605B"/>
    <w:rsid w:val="006644E2"/>
    <w:rsid w:val="00682B87"/>
    <w:rsid w:val="00695D62"/>
    <w:rsid w:val="007D0144"/>
    <w:rsid w:val="008D5154"/>
    <w:rsid w:val="00991F96"/>
    <w:rsid w:val="009C0A64"/>
    <w:rsid w:val="009D1723"/>
    <w:rsid w:val="00B60D01"/>
    <w:rsid w:val="00C24D91"/>
    <w:rsid w:val="00CA534D"/>
    <w:rsid w:val="00CB0179"/>
    <w:rsid w:val="00D37915"/>
    <w:rsid w:val="00DF5601"/>
    <w:rsid w:val="00E06605"/>
    <w:rsid w:val="00E07C95"/>
    <w:rsid w:val="00E14E5D"/>
    <w:rsid w:val="00E64889"/>
    <w:rsid w:val="00EA4AB1"/>
    <w:rsid w:val="00F25B66"/>
    <w:rsid w:val="03812614"/>
    <w:rsid w:val="07DD59DD"/>
    <w:rsid w:val="13787DBD"/>
    <w:rsid w:val="14F21225"/>
    <w:rsid w:val="159E5E21"/>
    <w:rsid w:val="16FE3D59"/>
    <w:rsid w:val="20920DCF"/>
    <w:rsid w:val="227B01AB"/>
    <w:rsid w:val="277118AE"/>
    <w:rsid w:val="28425812"/>
    <w:rsid w:val="28FD6AE7"/>
    <w:rsid w:val="33885E15"/>
    <w:rsid w:val="34FD18A5"/>
    <w:rsid w:val="35435DCE"/>
    <w:rsid w:val="37F44D36"/>
    <w:rsid w:val="391C2E37"/>
    <w:rsid w:val="42CE2A39"/>
    <w:rsid w:val="4C2029CC"/>
    <w:rsid w:val="507E7CF0"/>
    <w:rsid w:val="551D26FC"/>
    <w:rsid w:val="57A113D6"/>
    <w:rsid w:val="57AD56F8"/>
    <w:rsid w:val="593C3D55"/>
    <w:rsid w:val="5C704894"/>
    <w:rsid w:val="5C7318DB"/>
    <w:rsid w:val="5E985B3F"/>
    <w:rsid w:val="5E993B1D"/>
    <w:rsid w:val="60727EDC"/>
    <w:rsid w:val="6AB1051C"/>
    <w:rsid w:val="6AC10DFA"/>
    <w:rsid w:val="6B33287B"/>
    <w:rsid w:val="713E1F00"/>
    <w:rsid w:val="76F4797E"/>
    <w:rsid w:val="7A4C6FD8"/>
    <w:rsid w:val="7C3F7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2"/>
    <w:basedOn w:val="1"/>
    <w:next w:val="1"/>
    <w:qFormat/>
    <w:uiPriority w:val="9"/>
    <w:pPr>
      <w:keepNext/>
      <w:keepLines/>
      <w:numPr>
        <w:ilvl w:val="1"/>
        <w:numId w:val="1"/>
      </w:numPr>
      <w:autoSpaceDE w:val="0"/>
      <w:autoSpaceDN w:val="0"/>
      <w:spacing w:beforeLines="50" w:line="240" w:lineRule="auto"/>
      <w:jc w:val="left"/>
      <w:textAlignment w:val="baseline"/>
      <w:outlineLvl w:val="1"/>
    </w:pPr>
    <w:rPr>
      <w:rFonts w:ascii="黑体" w:hAnsi="华文细黑" w:eastAsia="黑体"/>
      <w:b/>
      <w:bCs/>
      <w:kern w:val="0"/>
      <w:sz w:val="30"/>
      <w:szCs w:val="30"/>
    </w:rPr>
  </w:style>
  <w:style w:type="paragraph" w:styleId="4">
    <w:name w:val="heading 3"/>
    <w:basedOn w:val="1"/>
    <w:next w:val="1"/>
    <w:qFormat/>
    <w:uiPriority w:val="9"/>
    <w:pPr>
      <w:keepNext/>
      <w:keepLines/>
      <w:numPr>
        <w:ilvl w:val="2"/>
        <w:numId w:val="1"/>
      </w:numPr>
      <w:spacing w:afterLines="50"/>
      <w:outlineLvl w:val="2"/>
    </w:pPr>
    <w:rPr>
      <w:rFonts w:asciiTheme="minorEastAsia" w:hAnsiTheme="minorEastAsia" w:eastAsiaTheme="minorEastAsia"/>
      <w:b/>
      <w:bCs/>
      <w:szCs w:val="3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styleId="5">
    <w:name w:val="caption"/>
    <w:basedOn w:val="1"/>
    <w:next w:val="1"/>
    <w:unhideWhenUsed/>
    <w:qFormat/>
    <w:uiPriority w:val="35"/>
    <w:pPr>
      <w:spacing w:line="240" w:lineRule="auto"/>
      <w:ind w:firstLine="0" w:firstLineChars="0"/>
      <w:jc w:val="center"/>
    </w:pPr>
    <w:rPr>
      <w:rFonts w:cstheme="majorBidi"/>
      <w:b/>
      <w:szCs w:val="20"/>
    </w:rPr>
  </w:style>
  <w:style w:type="paragraph" w:styleId="6">
    <w:name w:val="annotation text"/>
    <w:basedOn w:val="1"/>
    <w:link w:val="29"/>
    <w:semiHidden/>
    <w:unhideWhenUsed/>
    <w:qFormat/>
    <w:uiPriority w:val="99"/>
    <w:pPr>
      <w:jc w:val="left"/>
    </w:pPr>
  </w:style>
  <w:style w:type="paragraph" w:styleId="7">
    <w:name w:val="Balloon Text"/>
    <w:basedOn w:val="1"/>
    <w:link w:val="28"/>
    <w:semiHidden/>
    <w:unhideWhenUsed/>
    <w:qFormat/>
    <w:uiPriority w:val="99"/>
    <w:pPr>
      <w:spacing w:line="240" w:lineRule="auto"/>
    </w:pPr>
    <w:rPr>
      <w:sz w:val="18"/>
      <w:szCs w:val="18"/>
    </w:rPr>
  </w:style>
  <w:style w:type="paragraph" w:styleId="8">
    <w:name w:val="footer"/>
    <w:basedOn w:val="1"/>
    <w:link w:val="27"/>
    <w:unhideWhenUsed/>
    <w:qFormat/>
    <w:uiPriority w:val="99"/>
    <w:pPr>
      <w:tabs>
        <w:tab w:val="center" w:pos="4153"/>
        <w:tab w:val="right" w:pos="8306"/>
      </w:tabs>
      <w:spacing w:line="240" w:lineRule="auto"/>
      <w:jc w:val="left"/>
    </w:pPr>
    <w:rPr>
      <w:sz w:val="18"/>
      <w:szCs w:val="18"/>
    </w:rPr>
  </w:style>
  <w:style w:type="paragraph" w:styleId="9">
    <w:name w:val="header"/>
    <w:basedOn w:val="1"/>
    <w:link w:val="26"/>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0">
    <w:name w:val="toc 1"/>
    <w:basedOn w:val="1"/>
    <w:next w:val="1"/>
    <w:unhideWhenUsed/>
    <w:qFormat/>
    <w:uiPriority w:val="39"/>
  </w:style>
  <w:style w:type="paragraph" w:styleId="11">
    <w:name w:val="List"/>
    <w:basedOn w:val="1"/>
    <w:semiHidden/>
    <w:unhideWhenUsed/>
    <w:qFormat/>
    <w:uiPriority w:val="99"/>
    <w:pPr>
      <w:ind w:left="200" w:hanging="200" w:hangingChars="200"/>
      <w:contextualSpacing/>
    </w:pPr>
  </w:style>
  <w:style w:type="paragraph" w:styleId="12">
    <w:name w:val="toc 2"/>
    <w:basedOn w:val="1"/>
    <w:next w:val="1"/>
    <w:unhideWhenUsed/>
    <w:qFormat/>
    <w:uiPriority w:val="39"/>
    <w:pPr>
      <w:ind w:left="420" w:leftChars="200"/>
    </w:pPr>
  </w:style>
  <w:style w:type="paragraph" w:styleId="13">
    <w:name w:val="annotation subject"/>
    <w:basedOn w:val="6"/>
    <w:next w:val="6"/>
    <w:link w:val="30"/>
    <w:semiHidden/>
    <w:unhideWhenUsed/>
    <w:qFormat/>
    <w:uiPriority w:val="99"/>
    <w:rPr>
      <w:b/>
      <w:bCs/>
    </w:rPr>
  </w:style>
  <w:style w:type="character" w:styleId="16">
    <w:name w:val="Hyperlink"/>
    <w:basedOn w:val="15"/>
    <w:unhideWhenUsed/>
    <w:qFormat/>
    <w:uiPriority w:val="99"/>
    <w:rPr>
      <w:color w:val="0563C1" w:themeColor="hyperlink"/>
      <w:u w:val="single"/>
    </w:rPr>
  </w:style>
  <w:style w:type="character" w:styleId="17">
    <w:name w:val="annotation reference"/>
    <w:basedOn w:val="15"/>
    <w:semiHidden/>
    <w:unhideWhenUsed/>
    <w:qFormat/>
    <w:uiPriority w:val="99"/>
    <w:rPr>
      <w:sz w:val="21"/>
      <w:szCs w:val="21"/>
    </w:rPr>
  </w:style>
  <w:style w:type="paragraph" w:styleId="18">
    <w:name w:val="List Paragraph"/>
    <w:basedOn w:val="1"/>
    <w:link w:val="25"/>
    <w:qFormat/>
    <w:uiPriority w:val="0"/>
    <w:pPr>
      <w:ind w:firstLine="420"/>
    </w:pPr>
  </w:style>
  <w:style w:type="paragraph" w:customStyle="1" w:styleId="19">
    <w:name w:val="列表(L)"/>
    <w:basedOn w:val="11"/>
    <w:link w:val="20"/>
    <w:qFormat/>
    <w:uiPriority w:val="0"/>
    <w:pPr>
      <w:spacing w:line="240" w:lineRule="auto"/>
      <w:ind w:left="0" w:firstLine="0" w:firstLineChars="0"/>
      <w:contextualSpacing w:val="0"/>
    </w:pPr>
    <w:rPr>
      <w:rFonts w:cs="宋体"/>
      <w:sz w:val="21"/>
      <w:szCs w:val="20"/>
    </w:rPr>
  </w:style>
  <w:style w:type="character" w:customStyle="1" w:styleId="20">
    <w:name w:val="列表(L) Char"/>
    <w:link w:val="19"/>
    <w:qFormat/>
    <w:uiPriority w:val="0"/>
    <w:rPr>
      <w:rFonts w:ascii="Times New Roman" w:hAnsi="Times New Roman" w:eastAsia="宋体" w:cs="宋体"/>
      <w:szCs w:val="20"/>
    </w:rPr>
  </w:style>
  <w:style w:type="character" w:customStyle="1" w:styleId="21">
    <w:name w:val="TT正文 Char"/>
    <w:link w:val="22"/>
    <w:qFormat/>
    <w:uiPriority w:val="0"/>
    <w:rPr>
      <w:rFonts w:cs="宋体"/>
      <w:color w:val="000000"/>
      <w:sz w:val="24"/>
    </w:rPr>
  </w:style>
  <w:style w:type="paragraph" w:customStyle="1" w:styleId="22">
    <w:name w:val="TT正文"/>
    <w:basedOn w:val="1"/>
    <w:link w:val="21"/>
    <w:qFormat/>
    <w:uiPriority w:val="0"/>
    <w:pPr>
      <w:snapToGrid/>
    </w:pPr>
    <w:rPr>
      <w:rFonts w:cs="宋体" w:asciiTheme="minorHAnsi" w:hAnsiTheme="minorHAnsi" w:eastAsiaTheme="minorEastAsia"/>
      <w:color w:val="000000"/>
      <w:szCs w:val="22"/>
    </w:rPr>
  </w:style>
  <w:style w:type="table" w:customStyle="1" w:styleId="23">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4">
    <w:name w:val="Table Paragraph"/>
    <w:basedOn w:val="1"/>
    <w:qFormat/>
    <w:uiPriority w:val="1"/>
    <w:pPr>
      <w:autoSpaceDE w:val="0"/>
      <w:autoSpaceDN w:val="0"/>
      <w:snapToGrid/>
      <w:spacing w:line="240" w:lineRule="auto"/>
      <w:ind w:firstLine="0" w:firstLineChars="0"/>
      <w:jc w:val="center"/>
    </w:pPr>
    <w:rPr>
      <w:rFonts w:ascii="Noto Sans CJK JP Regular" w:hAnsi="Noto Sans CJK JP Regular" w:eastAsia="Noto Sans CJK JP Regular" w:cs="Noto Sans CJK JP Regular"/>
      <w:kern w:val="0"/>
      <w:sz w:val="22"/>
      <w:szCs w:val="22"/>
      <w:lang w:eastAsia="en-US"/>
    </w:rPr>
  </w:style>
  <w:style w:type="character" w:customStyle="1" w:styleId="25">
    <w:name w:val="列出段落 Char"/>
    <w:link w:val="18"/>
    <w:qFormat/>
    <w:uiPriority w:val="0"/>
    <w:rPr>
      <w:rFonts w:ascii="Times New Roman" w:hAnsi="Times New Roman" w:eastAsia="宋体" w:cs="Times New Roman"/>
      <w:sz w:val="24"/>
      <w:szCs w:val="24"/>
    </w:rPr>
  </w:style>
  <w:style w:type="character" w:customStyle="1" w:styleId="26">
    <w:name w:val="页眉 Char"/>
    <w:basedOn w:val="15"/>
    <w:link w:val="9"/>
    <w:qFormat/>
    <w:uiPriority w:val="99"/>
    <w:rPr>
      <w:rFonts w:ascii="Times New Roman" w:hAnsi="Times New Roman" w:eastAsia="宋体" w:cs="Times New Roman"/>
      <w:sz w:val="18"/>
      <w:szCs w:val="18"/>
    </w:rPr>
  </w:style>
  <w:style w:type="character" w:customStyle="1" w:styleId="27">
    <w:name w:val="页脚 Char"/>
    <w:basedOn w:val="15"/>
    <w:link w:val="8"/>
    <w:qFormat/>
    <w:uiPriority w:val="99"/>
    <w:rPr>
      <w:rFonts w:ascii="Times New Roman" w:hAnsi="Times New Roman" w:eastAsia="宋体" w:cs="Times New Roman"/>
      <w:sz w:val="18"/>
      <w:szCs w:val="18"/>
    </w:rPr>
  </w:style>
  <w:style w:type="character" w:customStyle="1" w:styleId="28">
    <w:name w:val="批注框文本 Char"/>
    <w:basedOn w:val="15"/>
    <w:link w:val="7"/>
    <w:semiHidden/>
    <w:qFormat/>
    <w:uiPriority w:val="99"/>
    <w:rPr>
      <w:rFonts w:ascii="Times New Roman" w:hAnsi="Times New Roman"/>
      <w:kern w:val="2"/>
      <w:sz w:val="18"/>
      <w:szCs w:val="18"/>
    </w:rPr>
  </w:style>
  <w:style w:type="character" w:customStyle="1" w:styleId="29">
    <w:name w:val="批注文字 Char"/>
    <w:basedOn w:val="15"/>
    <w:link w:val="6"/>
    <w:semiHidden/>
    <w:qFormat/>
    <w:uiPriority w:val="99"/>
    <w:rPr>
      <w:rFonts w:ascii="Times New Roman" w:hAnsi="Times New Roman"/>
      <w:kern w:val="2"/>
      <w:sz w:val="24"/>
      <w:szCs w:val="24"/>
    </w:rPr>
  </w:style>
  <w:style w:type="character" w:customStyle="1" w:styleId="30">
    <w:name w:val="批注主题 Char"/>
    <w:basedOn w:val="29"/>
    <w:link w:val="13"/>
    <w:qFormat/>
    <w:uiPriority w:val="0"/>
  </w:style>
  <w:style w:type="paragraph" w:customStyle="1" w:styleId="31">
    <w:name w:val="表格内容"/>
    <w:basedOn w:val="1"/>
    <w:qFormat/>
    <w:uiPriority w:val="0"/>
    <w:pPr>
      <w:adjustRightInd w:val="0"/>
      <w:spacing w:line="240" w:lineRule="auto"/>
      <w:ind w:firstLine="0" w:firstLineChars="0"/>
      <w:jc w:val="center"/>
    </w:pPr>
    <w:rPr>
      <w:rFonts w:cstheme="minorBidi"/>
      <w:sz w:val="21"/>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28"/>
    <customShpInfo spid="_x0000_s1027"/>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A8BC22-CBEB-4044-8154-6465F5D38B5E}">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27</Pages>
  <Words>2511</Words>
  <Characters>14319</Characters>
  <Lines>119</Lines>
  <Paragraphs>33</Paragraphs>
  <TotalTime>2</TotalTime>
  <ScaleCrop>false</ScaleCrop>
  <LinksUpToDate>false</LinksUpToDate>
  <CharactersWithSpaces>16797</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2019-09-22T08:07:00Z</dcterms:created>
  <dc:creator>王 静</dc:creator>
  <cp:lastModifiedBy>良心韵</cp:lastModifiedBy>
  <dcterms:modified xsi:type="dcterms:W3CDTF">2020-10-23T09:06:16Z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