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附件1</w:t>
      </w:r>
    </w:p>
    <w:p>
      <w:pPr>
        <w:jc w:val="center"/>
        <w:rPr>
          <w:rFonts w:hint="eastAsia" w:ascii="宋体" w:hAnsi="宋体" w:eastAsia="宋体" w:cs="宋体"/>
          <w:sz w:val="44"/>
          <w:szCs w:val="44"/>
        </w:rPr>
      </w:pPr>
      <w:r>
        <w:rPr>
          <w:rFonts w:hint="eastAsia" w:ascii="宋体" w:hAnsi="宋体" w:eastAsia="宋体" w:cs="宋体"/>
          <w:sz w:val="44"/>
          <w:szCs w:val="44"/>
        </w:rPr>
        <w:t>综合评分细则</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137"/>
        <w:gridCol w:w="528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评比内容</w:t>
            </w:r>
          </w:p>
        </w:tc>
        <w:tc>
          <w:tcPr>
            <w:tcW w:w="5287" w:type="dxa"/>
            <w:vAlign w:val="center"/>
          </w:tcPr>
          <w:p>
            <w:pPr>
              <w:widowControl/>
              <w:jc w:val="center"/>
              <w:rPr>
                <w:rFonts w:ascii="宋体" w:hAnsi="宋体" w:cs="宋体"/>
                <w:b/>
                <w:bCs/>
                <w:kern w:val="0"/>
                <w:sz w:val="24"/>
              </w:rPr>
            </w:pPr>
            <w:r>
              <w:rPr>
                <w:rFonts w:hint="eastAsia" w:ascii="宋体" w:hAnsi="宋体" w:cs="宋体"/>
                <w:b/>
                <w:bCs/>
                <w:kern w:val="0"/>
                <w:sz w:val="24"/>
              </w:rPr>
              <w:t>评比标准</w:t>
            </w:r>
          </w:p>
        </w:tc>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一</w:t>
            </w:r>
          </w:p>
        </w:tc>
        <w:tc>
          <w:tcPr>
            <w:tcW w:w="8242" w:type="dxa"/>
            <w:gridSpan w:val="3"/>
            <w:vAlign w:val="center"/>
          </w:tcPr>
          <w:p>
            <w:pPr>
              <w:widowControl/>
              <w:jc w:val="left"/>
              <w:rPr>
                <w:rFonts w:ascii="宋体" w:hAnsi="宋体" w:cs="宋体"/>
                <w:b/>
                <w:bCs/>
                <w:kern w:val="0"/>
                <w:sz w:val="24"/>
              </w:rPr>
            </w:pPr>
            <w:r>
              <w:rPr>
                <w:rFonts w:hint="eastAsia" w:ascii="宋体" w:hAnsi="宋体" w:cs="宋体"/>
                <w:b/>
                <w:bCs/>
                <w:kern w:val="0"/>
                <w:sz w:val="24"/>
              </w:rPr>
              <w:t>商务部分（</w:t>
            </w:r>
            <w:r>
              <w:rPr>
                <w:rFonts w:hint="eastAsia" w:ascii="宋体" w:hAnsi="宋体" w:cs="宋体"/>
                <w:b/>
                <w:bCs/>
                <w:kern w:val="0"/>
                <w:sz w:val="24"/>
                <w:lang w:val="en-US" w:eastAsia="zh-CN"/>
              </w:rPr>
              <w:t>12</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技术综合实力</w:t>
            </w:r>
          </w:p>
        </w:tc>
        <w:tc>
          <w:tcPr>
            <w:tcW w:w="528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eastAsia="zh-CN"/>
              </w:rPr>
              <w:t>投标人具有档案专业中级以上职称的，得</w:t>
            </w:r>
            <w:r>
              <w:rPr>
                <w:rFonts w:hint="eastAsia" w:ascii="宋体" w:hAnsi="宋体" w:cs="宋体"/>
                <w:kern w:val="0"/>
                <w:sz w:val="24"/>
                <w:lang w:val="en-US" w:eastAsia="zh-CN"/>
              </w:rPr>
              <w:t>5分；具有档案专业人员上岗证的，得5分；具有档案中介服务资质（在广州市各区县档案局备案证书，有效期内）得5分。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以往业绩情况</w:t>
            </w:r>
          </w:p>
        </w:tc>
        <w:tc>
          <w:tcPr>
            <w:tcW w:w="5287" w:type="dxa"/>
            <w:vAlign w:val="center"/>
          </w:tcPr>
          <w:p>
            <w:pPr>
              <w:widowControl/>
              <w:jc w:val="left"/>
              <w:rPr>
                <w:rFonts w:ascii="宋体" w:hAnsi="宋体" w:cs="宋体"/>
                <w:sz w:val="24"/>
              </w:rPr>
            </w:pPr>
            <w:r>
              <w:rPr>
                <w:rFonts w:hint="eastAsia" w:ascii="宋体" w:hAnsi="宋体" w:cs="宋体"/>
                <w:sz w:val="24"/>
              </w:rPr>
              <w:t>投标人自201</w:t>
            </w:r>
            <w:r>
              <w:rPr>
                <w:rFonts w:hint="eastAsia" w:ascii="宋体" w:hAnsi="宋体" w:cs="宋体"/>
                <w:sz w:val="24"/>
                <w:lang w:val="en-US" w:eastAsia="zh-CN"/>
              </w:rPr>
              <w:t>7</w:t>
            </w:r>
            <w:r>
              <w:rPr>
                <w:rFonts w:hint="eastAsia" w:ascii="宋体" w:hAnsi="宋体" w:cs="宋体"/>
                <w:sz w:val="24"/>
              </w:rPr>
              <w:t>年来承担</w:t>
            </w:r>
            <w:r>
              <w:rPr>
                <w:rFonts w:hint="eastAsia" w:ascii="宋体" w:hAnsi="宋体" w:cs="宋体"/>
                <w:sz w:val="24"/>
                <w:lang w:eastAsia="zh-CN"/>
              </w:rPr>
              <w:t>过婚姻档案整理的或纸质档案数字化的，金额在</w:t>
            </w:r>
            <w:r>
              <w:rPr>
                <w:rFonts w:hint="eastAsia" w:ascii="宋体" w:hAnsi="宋体" w:cs="宋体"/>
                <w:sz w:val="24"/>
                <w:lang w:val="en-US" w:eastAsia="zh-CN"/>
              </w:rPr>
              <w:t>2万元以上的项目，每整理1个项目</w:t>
            </w:r>
            <w:r>
              <w:rPr>
                <w:rFonts w:hint="eastAsia" w:ascii="宋体" w:hAnsi="宋体" w:cs="宋体"/>
                <w:sz w:val="24"/>
              </w:rPr>
              <w:t>得</w:t>
            </w:r>
            <w:r>
              <w:rPr>
                <w:rFonts w:hint="eastAsia" w:ascii="宋体" w:hAnsi="宋体" w:cs="宋体"/>
                <w:sz w:val="24"/>
                <w:lang w:val="en-US" w:eastAsia="zh-CN"/>
              </w:rPr>
              <w:t>5</w:t>
            </w:r>
            <w:r>
              <w:rPr>
                <w:rFonts w:hint="eastAsia" w:ascii="宋体" w:hAnsi="宋体" w:cs="宋体"/>
                <w:sz w:val="24"/>
              </w:rPr>
              <w:t>分。本项最多得</w:t>
            </w:r>
            <w:r>
              <w:rPr>
                <w:rFonts w:hint="eastAsia" w:ascii="宋体" w:hAnsi="宋体" w:cs="宋体"/>
                <w:sz w:val="24"/>
                <w:lang w:val="en-US" w:eastAsia="zh-CN"/>
              </w:rPr>
              <w:t>30</w:t>
            </w:r>
            <w:r>
              <w:rPr>
                <w:rFonts w:hint="eastAsia" w:ascii="宋体" w:hAnsi="宋体" w:cs="宋体"/>
                <w:sz w:val="24"/>
              </w:rPr>
              <w:t>分。（时间以委托函或合同签订或中标通知书落款时间为准，有效业绩材料：以委托函或合同或中标通知书或业主证明的复印件或扫描件加盖供应商公章为准）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b/>
                <w:bCs/>
                <w:kern w:val="0"/>
                <w:sz w:val="24"/>
              </w:rPr>
              <w:t>二</w:t>
            </w:r>
          </w:p>
        </w:tc>
        <w:tc>
          <w:tcPr>
            <w:tcW w:w="8242" w:type="dxa"/>
            <w:gridSpan w:val="3"/>
            <w:vAlign w:val="center"/>
          </w:tcPr>
          <w:p>
            <w:pPr>
              <w:widowControl/>
              <w:jc w:val="left"/>
              <w:rPr>
                <w:rFonts w:ascii="宋体" w:hAnsi="宋体" w:cs="宋体"/>
                <w:kern w:val="0"/>
                <w:sz w:val="24"/>
              </w:rPr>
            </w:pPr>
            <w:r>
              <w:rPr>
                <w:rFonts w:hint="eastAsia" w:ascii="宋体" w:hAnsi="宋体" w:cs="宋体"/>
                <w:b/>
                <w:bCs/>
                <w:kern w:val="0"/>
                <w:sz w:val="24"/>
              </w:rPr>
              <w:t>技术部分（</w:t>
            </w:r>
            <w:r>
              <w:rPr>
                <w:rFonts w:hint="eastAsia" w:ascii="宋体" w:hAnsi="宋体" w:cs="宋体"/>
                <w:b/>
                <w:bCs/>
                <w:kern w:val="0"/>
                <w:sz w:val="24"/>
                <w:lang w:val="en-US" w:eastAsia="zh-CN"/>
              </w:rPr>
              <w:t>10</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工作时间与进度计划</w:t>
            </w:r>
          </w:p>
        </w:tc>
        <w:tc>
          <w:tcPr>
            <w:tcW w:w="5287" w:type="dxa"/>
            <w:vAlign w:val="center"/>
          </w:tcPr>
          <w:p>
            <w:pPr>
              <w:widowControl/>
              <w:jc w:val="left"/>
              <w:rPr>
                <w:rFonts w:ascii="宋体" w:hAnsi="宋体" w:cs="宋体"/>
                <w:kern w:val="0"/>
                <w:sz w:val="24"/>
              </w:rPr>
            </w:pPr>
            <w:r>
              <w:rPr>
                <w:rFonts w:hint="eastAsia" w:ascii="宋体" w:hAnsi="宋体" w:cs="宋体"/>
                <w:kern w:val="0"/>
                <w:sz w:val="24"/>
              </w:rPr>
              <w:t>根据投标人对本项目工作时间及进度安排的合理性进行评分。</w:t>
            </w:r>
          </w:p>
          <w:p>
            <w:pPr>
              <w:widowControl/>
              <w:jc w:val="left"/>
              <w:rPr>
                <w:rFonts w:ascii="宋体" w:hAnsi="宋体" w:cs="宋体"/>
                <w:sz w:val="24"/>
              </w:rPr>
            </w:pPr>
            <w:r>
              <w:rPr>
                <w:rFonts w:hint="eastAsia" w:ascii="宋体" w:hAnsi="宋体" w:cs="宋体"/>
                <w:kern w:val="0"/>
                <w:sz w:val="24"/>
              </w:rPr>
              <w:t>由评委酌情打分，划分为优（</w:t>
            </w:r>
            <w:r>
              <w:rPr>
                <w:rFonts w:hint="eastAsia" w:ascii="宋体" w:hAnsi="宋体" w:cs="宋体"/>
                <w:kern w:val="0"/>
                <w:sz w:val="24"/>
                <w:lang w:val="en-US" w:eastAsia="zh-CN"/>
              </w:rPr>
              <w:t>8</w:t>
            </w:r>
            <w:r>
              <w:rPr>
                <w:rFonts w:ascii="宋体" w:hAnsi="宋体" w:cs="宋体"/>
                <w:kern w:val="0"/>
                <w:sz w:val="24"/>
              </w:rPr>
              <w:t>-</w:t>
            </w:r>
            <w:r>
              <w:rPr>
                <w:rFonts w:hint="eastAsia" w:ascii="宋体" w:hAnsi="宋体" w:cs="宋体"/>
                <w:kern w:val="0"/>
                <w:sz w:val="24"/>
                <w:lang w:val="en-US" w:eastAsia="zh-CN"/>
              </w:rPr>
              <w:t>10</w:t>
            </w:r>
            <w:r>
              <w:rPr>
                <w:rFonts w:hint="eastAsia" w:ascii="宋体" w:hAnsi="宋体" w:cs="宋体"/>
                <w:kern w:val="0"/>
                <w:sz w:val="24"/>
              </w:rPr>
              <w:t>分）、良（</w:t>
            </w:r>
            <w:r>
              <w:rPr>
                <w:rFonts w:hint="eastAsia" w:ascii="宋体" w:hAnsi="宋体" w:cs="宋体"/>
                <w:kern w:val="0"/>
                <w:sz w:val="24"/>
                <w:lang w:val="en-US" w:eastAsia="zh-CN"/>
              </w:rPr>
              <w:t>6</w:t>
            </w:r>
            <w:r>
              <w:rPr>
                <w:rFonts w:ascii="宋体" w:hAnsi="宋体" w:cs="宋体"/>
                <w:kern w:val="0"/>
                <w:sz w:val="24"/>
              </w:rPr>
              <w:t>-</w:t>
            </w:r>
            <w:r>
              <w:rPr>
                <w:rFonts w:hint="eastAsia" w:ascii="宋体" w:hAnsi="宋体" w:cs="宋体"/>
                <w:kern w:val="0"/>
                <w:sz w:val="24"/>
                <w:lang w:val="en-US" w:eastAsia="zh-CN"/>
              </w:rPr>
              <w:t>8</w:t>
            </w:r>
            <w:r>
              <w:rPr>
                <w:rFonts w:hint="eastAsia" w:ascii="宋体" w:hAnsi="宋体" w:cs="宋体"/>
                <w:kern w:val="0"/>
                <w:sz w:val="24"/>
              </w:rPr>
              <w:t>分）、一般（</w:t>
            </w:r>
            <w:r>
              <w:rPr>
                <w:rFonts w:ascii="宋体" w:hAnsi="宋体" w:cs="宋体"/>
                <w:kern w:val="0"/>
                <w:sz w:val="24"/>
              </w:rPr>
              <w:t>3-</w:t>
            </w:r>
            <w:r>
              <w:rPr>
                <w:rFonts w:hint="eastAsia" w:ascii="宋体" w:hAnsi="宋体" w:cs="宋体"/>
                <w:kern w:val="0"/>
                <w:sz w:val="24"/>
                <w:lang w:val="en-US" w:eastAsia="zh-CN"/>
              </w:rPr>
              <w:t>6</w:t>
            </w:r>
            <w:r>
              <w:rPr>
                <w:rFonts w:hint="eastAsia" w:ascii="宋体" w:hAnsi="宋体" w:cs="宋体"/>
                <w:kern w:val="0"/>
                <w:sz w:val="24"/>
              </w:rPr>
              <w:t>分）、差（</w:t>
            </w:r>
            <w:r>
              <w:rPr>
                <w:rFonts w:ascii="宋体" w:hAnsi="宋体" w:cs="宋体"/>
                <w:kern w:val="0"/>
                <w:sz w:val="24"/>
              </w:rPr>
              <w:t>0-</w:t>
            </w:r>
            <w:r>
              <w:rPr>
                <w:rFonts w:hint="eastAsia" w:ascii="宋体" w:hAnsi="宋体" w:cs="宋体"/>
                <w:kern w:val="0"/>
                <w:sz w:val="24"/>
                <w:lang w:val="en-US" w:eastAsia="zh-CN"/>
              </w:rPr>
              <w:t>3</w:t>
            </w:r>
            <w:r>
              <w:rPr>
                <w:rFonts w:hint="eastAsia" w:ascii="宋体" w:hAnsi="宋体" w:cs="宋体"/>
                <w:kern w:val="0"/>
                <w:sz w:val="24"/>
              </w:rPr>
              <w:t>）。</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三</w:t>
            </w:r>
          </w:p>
        </w:tc>
        <w:tc>
          <w:tcPr>
            <w:tcW w:w="8242" w:type="dxa"/>
            <w:gridSpan w:val="3"/>
            <w:vAlign w:val="center"/>
          </w:tcPr>
          <w:p>
            <w:pPr>
              <w:widowControl/>
              <w:jc w:val="left"/>
              <w:rPr>
                <w:rFonts w:ascii="宋体" w:hAnsi="宋体" w:cs="宋体"/>
                <w:b/>
                <w:bCs/>
                <w:kern w:val="0"/>
                <w:sz w:val="24"/>
              </w:rPr>
            </w:pPr>
            <w:r>
              <w:rPr>
                <w:rFonts w:hint="eastAsia" w:ascii="宋体" w:hAnsi="宋体" w:cs="宋体"/>
                <w:b/>
                <w:bCs/>
                <w:kern w:val="0"/>
                <w:sz w:val="24"/>
              </w:rPr>
              <w:t>价格部分（</w:t>
            </w:r>
            <w:r>
              <w:rPr>
                <w:rFonts w:hint="eastAsia" w:ascii="宋体" w:hAnsi="宋体" w:cs="宋体"/>
                <w:b/>
                <w:bCs/>
                <w:kern w:val="0"/>
                <w:sz w:val="24"/>
                <w:lang w:val="en-US" w:eastAsia="zh-CN"/>
              </w:rPr>
              <w:t>30</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价格分</w:t>
            </w:r>
          </w:p>
        </w:tc>
        <w:tc>
          <w:tcPr>
            <w:tcW w:w="5287" w:type="dxa"/>
            <w:vAlign w:val="center"/>
          </w:tcPr>
          <w:p>
            <w:pPr>
              <w:widowControl/>
              <w:jc w:val="left"/>
              <w:rPr>
                <w:rFonts w:hint="eastAsia" w:ascii="宋体" w:hAnsi="宋体" w:eastAsia="宋体" w:cs="宋体"/>
                <w:sz w:val="24"/>
                <w:lang w:val="en-US" w:eastAsia="zh-CN"/>
              </w:rPr>
            </w:pPr>
            <w:r>
              <w:rPr>
                <w:rFonts w:hint="eastAsia" w:ascii="宋体" w:hAnsi="宋体" w:cs="宋体"/>
                <w:sz w:val="24"/>
              </w:rPr>
              <w:t>根据投标人有效报价进行评分</w:t>
            </w:r>
            <w:r>
              <w:rPr>
                <w:rFonts w:hint="eastAsia" w:ascii="宋体" w:hAnsi="宋体" w:cs="宋体"/>
                <w:sz w:val="24"/>
                <w:lang w:eastAsia="zh-CN"/>
              </w:rPr>
              <w:t>投标人报价最低值为满分</w:t>
            </w:r>
            <w:r>
              <w:rPr>
                <w:rFonts w:hint="eastAsia" w:ascii="宋体" w:hAnsi="宋体" w:cs="宋体"/>
                <w:sz w:val="24"/>
                <w:lang w:val="en-US" w:eastAsia="zh-CN"/>
              </w:rPr>
              <w:t>30分，其余投标人价格分为此次投标的最低报价除以该公司报价再乘以30，所得值为该项得分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四</w:t>
            </w:r>
          </w:p>
        </w:tc>
        <w:tc>
          <w:tcPr>
            <w:tcW w:w="8242" w:type="dxa"/>
            <w:gridSpan w:val="3"/>
            <w:vAlign w:val="center"/>
          </w:tcPr>
          <w:p>
            <w:pPr>
              <w:widowControl/>
              <w:jc w:val="left"/>
              <w:rPr>
                <w:rFonts w:hint="eastAsia" w:ascii="宋体" w:hAnsi="宋体" w:cs="宋体"/>
                <w:kern w:val="0"/>
                <w:sz w:val="24"/>
                <w:lang w:val="en-US" w:eastAsia="zh-CN"/>
              </w:rPr>
            </w:pPr>
            <w:r>
              <w:rPr>
                <w:rFonts w:hint="eastAsia" w:ascii="宋体" w:hAnsi="宋体" w:cs="宋体"/>
                <w:b/>
                <w:bCs/>
                <w:kern w:val="0"/>
                <w:sz w:val="24"/>
                <w:lang w:eastAsia="zh-CN"/>
              </w:rPr>
              <w:t>综合诚信（</w:t>
            </w:r>
            <w:r>
              <w:rPr>
                <w:rFonts w:hint="eastAsia" w:ascii="宋体" w:hAnsi="宋体" w:cs="宋体"/>
                <w:b/>
                <w:bCs/>
                <w:kern w:val="0"/>
                <w:sz w:val="24"/>
                <w:lang w:val="en-US" w:eastAsia="zh-CN"/>
              </w:rPr>
              <w:t>10分</w:t>
            </w:r>
            <w:r>
              <w:rPr>
                <w:rFonts w:hint="eastAsia" w:ascii="宋体" w:hAnsi="宋体" w:cs="宋体"/>
                <w:b/>
                <w:bCs/>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2137" w:type="dxa"/>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综合信用分</w:t>
            </w:r>
          </w:p>
        </w:tc>
        <w:tc>
          <w:tcPr>
            <w:tcW w:w="5287" w:type="dxa"/>
            <w:vAlign w:val="center"/>
          </w:tcPr>
          <w:p>
            <w:pPr>
              <w:widowControl/>
              <w:jc w:val="left"/>
              <w:rPr>
                <w:rFonts w:hint="eastAsia" w:ascii="宋体" w:hAnsi="宋体" w:cs="宋体"/>
                <w:sz w:val="24"/>
              </w:rPr>
            </w:pPr>
            <w:r>
              <w:rPr>
                <w:rFonts w:ascii="宋体" w:hAnsi="宋体" w:eastAsia="宋体" w:cs="宋体"/>
                <w:kern w:val="2"/>
                <w:sz w:val="24"/>
                <w:szCs w:val="22"/>
                <w:rtl w:val="0"/>
                <w:lang w:val="en-US" w:eastAsia="zh-CN" w:bidi="ar-SA"/>
              </w:rPr>
              <w:t>以“信用中国”（www.creditchina.gov.cn）网站为查询渠道，对列入企业经营异常名录的供应商每一条记录扣</w:t>
            </w: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分，最高扣</w:t>
            </w:r>
            <w:r>
              <w:rPr>
                <w:rFonts w:hint="eastAsia" w:ascii="宋体" w:hAnsi="宋体" w:cs="宋体"/>
                <w:kern w:val="2"/>
                <w:sz w:val="24"/>
                <w:szCs w:val="22"/>
                <w:rtl w:val="0"/>
                <w:lang w:val="en-US" w:eastAsia="zh-CN" w:bidi="ar-SA"/>
              </w:rPr>
              <w:t>10</w:t>
            </w:r>
            <w:r>
              <w:rPr>
                <w:rFonts w:ascii="宋体" w:hAnsi="宋体" w:eastAsia="宋体" w:cs="宋体"/>
                <w:kern w:val="2"/>
                <w:sz w:val="24"/>
                <w:szCs w:val="22"/>
                <w:rtl w:val="0"/>
                <w:lang w:val="en-US" w:eastAsia="zh-CN" w:bidi="ar-SA"/>
              </w:rPr>
              <w:t>分；未列入则不扣分（如查询结果显示“没查到您要的信息”，视为未列入企业经营异常名录）</w:t>
            </w:r>
            <w:r>
              <w:rPr>
                <w:rFonts w:hint="eastAsia" w:ascii="宋体" w:hAnsi="宋体" w:cs="宋体"/>
                <w:kern w:val="2"/>
                <w:sz w:val="24"/>
                <w:szCs w:val="22"/>
                <w:rtl w:val="0"/>
                <w:lang w:val="en-US" w:eastAsia="zh-CN" w:bidi="ar-SA"/>
              </w:rPr>
              <w:t>，得10分</w:t>
            </w:r>
            <w:r>
              <w:rPr>
                <w:rFonts w:ascii="宋体" w:hAnsi="宋体" w:eastAsia="宋体" w:cs="宋体"/>
                <w:kern w:val="2"/>
                <w:sz w:val="24"/>
                <w:szCs w:val="22"/>
                <w:rtl w:val="0"/>
                <w:lang w:val="en-US" w:eastAsia="zh-CN" w:bidi="ar-SA"/>
              </w:rPr>
              <w:t>。 评审时评标委员会应将信用信息查询记录和证据截图存档。</w:t>
            </w:r>
          </w:p>
        </w:tc>
        <w:tc>
          <w:tcPr>
            <w:tcW w:w="818"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w:t>
            </w:r>
          </w:p>
        </w:tc>
      </w:tr>
    </w:tbl>
    <w:p/>
    <w:p>
      <w:pPr>
        <w:spacing w:line="560" w:lineRule="exact"/>
        <w:ind w:firstLine="645"/>
        <w:rPr>
          <w:rFonts w:hint="eastAsia" w:ascii="仿宋_GB2312" w:eastAsia="仿宋_GB2312"/>
          <w:sz w:val="32"/>
          <w:szCs w:val="32"/>
          <w:lang w:val="en-US" w:eastAsia="zh-CN"/>
        </w:rPr>
      </w:pPr>
    </w:p>
    <w:p>
      <w:pPr>
        <w:spacing w:line="560" w:lineRule="exact"/>
        <w:ind w:firstLine="645"/>
        <w:rPr>
          <w:rFonts w:hint="eastAsia" w:ascii="仿宋_GB2312" w:eastAsia="仿宋_GB2312"/>
          <w:sz w:val="32"/>
          <w:szCs w:val="32"/>
          <w:lang w:val="en-US" w:eastAsia="zh-CN"/>
        </w:rPr>
      </w:pPr>
    </w:p>
    <w:p>
      <w:pPr>
        <w:spacing w:line="560" w:lineRule="exact"/>
        <w:ind w:firstLine="645"/>
        <w:rPr>
          <w:rFonts w:hint="eastAsia" w:ascii="仿宋_GB2312" w:eastAsia="仿宋_GB2312"/>
          <w:sz w:val="32"/>
          <w:szCs w:val="32"/>
          <w:lang w:val="en-US" w:eastAsia="zh-CN"/>
        </w:rPr>
      </w:pPr>
    </w:p>
    <w:p>
      <w:pPr>
        <w:numPr>
          <w:ilvl w:val="0"/>
          <w:numId w:val="0"/>
        </w:numPr>
        <w:ind w:left="0" w:leftChars="0"/>
        <w:rPr>
          <w:rFonts w:hint="eastAsia" w:ascii="仿宋" w:hAnsi="仿宋" w:eastAsia="仿宋" w:cs="仿宋"/>
          <w:i w:val="0"/>
          <w:caps w:val="0"/>
          <w:color w:val="333333"/>
          <w:spacing w:val="0"/>
          <w:sz w:val="32"/>
          <w:szCs w:val="32"/>
          <w:shd w:val="clear" w:fill="FFFFFF"/>
          <w:lang w:val="en-US" w:eastAsia="zh-CN"/>
        </w:rPr>
      </w:pPr>
      <w:bookmarkStart w:id="0" w:name="_GoBack"/>
      <w:bookmarkEnd w:id="0"/>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7268E"/>
    <w:rsid w:val="022018EC"/>
    <w:rsid w:val="09B7268E"/>
    <w:rsid w:val="14A44A97"/>
    <w:rsid w:val="226D0BA8"/>
    <w:rsid w:val="27A50410"/>
    <w:rsid w:val="29672AF4"/>
    <w:rsid w:val="34847D6F"/>
    <w:rsid w:val="52BF6E23"/>
    <w:rsid w:val="55370F44"/>
    <w:rsid w:val="73DB771F"/>
    <w:rsid w:val="754E5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2"/>
    <w:basedOn w:val="1"/>
    <w:next w:val="1"/>
    <w:qFormat/>
    <w:uiPriority w:val="0"/>
    <w:pPr>
      <w:spacing w:line="600" w:lineRule="exact"/>
      <w:ind w:left="420" w:leftChars="200" w:firstLine="819" w:firstLineChars="200"/>
    </w:pPr>
    <w:rPr>
      <w:rFonts w:ascii="Calibri" w:hAnsi="Calibri" w:eastAsia="宋体" w:cs="Times New Roman"/>
      <w:lang w:bidi="ar-SA"/>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layui-layer-tabnow"/>
    <w:basedOn w:val="5"/>
    <w:qFormat/>
    <w:uiPriority w:val="0"/>
    <w:rPr>
      <w:bdr w:val="single" w:color="CCCCCC" w:sz="4" w:space="0"/>
      <w:shd w:val="clear" w:fill="FFFFFF"/>
    </w:rPr>
  </w:style>
  <w:style w:type="character" w:customStyle="1" w:styleId="11">
    <w:name w:val="first-child"/>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2021-03-11T03:00:00Z</dcterms:created>
  <dc:creator>04</dc:creator>
  <cp:lastModifiedBy>Administrator</cp:lastModifiedBy>
  <dcterms:modified xsi:type="dcterms:W3CDTF">2021-03-12T06:27:06Z</dcterms:modified>
  <dc:title>黄埔区国家档案馆部分婚姻档案数字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