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2021年4月零散房源分配名单</w:t>
      </w:r>
    </w:p>
    <w:p/>
    <w:p/>
    <w:tbl>
      <w:tblPr>
        <w:tblStyle w:val="3"/>
        <w:tblW w:w="84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4127"/>
        <w:gridCol w:w="1430"/>
        <w:gridCol w:w="1423"/>
        <w:gridCol w:w="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99" w:hRule="atLeast"/>
          <w:jc w:val="center"/>
        </w:trPr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4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广州维卡迈电子科技有限公司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广州市普晖药业连锁有限公司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广州里由文化传播有限公司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lang w:val="en-US" w:eastAsia="zh-CN"/>
              </w:rPr>
              <w:t>广州正宏物联科技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lang w:val="en-US" w:eastAsia="zh-CN"/>
              </w:rPr>
              <w:t>股份有限公司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大沙街道办事处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广州一栈购网络科技有限公司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广州科曼生物科技有限公司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9904A44"/>
    <w:rsid w:val="1E4A2D93"/>
    <w:rsid w:val="42D172F0"/>
    <w:rsid w:val="43B14E08"/>
    <w:rsid w:val="49B24307"/>
    <w:rsid w:val="5C295DF6"/>
    <w:rsid w:val="68DC130C"/>
    <w:rsid w:val="6FA83619"/>
    <w:rsid w:val="702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2021-04-26T08:54:12Z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