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5D" w:rsidRDefault="00FD515D" w:rsidP="000F21D1"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 w:hAnsi="方正小标宋简体" w:cs="Times New Roman"/>
          <w:bCs/>
          <w:color w:val="333333"/>
          <w:sz w:val="44"/>
          <w:szCs w:val="20"/>
          <w:shd w:val="clear" w:color="auto" w:fill="FFFFFF"/>
        </w:rPr>
      </w:pPr>
    </w:p>
    <w:p w:rsidR="001B6E2B" w:rsidRPr="000F21D1" w:rsidRDefault="007C0E51" w:rsidP="000F21D1"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 w:hAnsi="方正小标宋简体" w:cs="Times New Roman"/>
          <w:bCs/>
          <w:color w:val="333333"/>
          <w:sz w:val="44"/>
          <w:szCs w:val="20"/>
          <w:shd w:val="clear" w:color="auto" w:fill="FFFFFF"/>
        </w:rPr>
      </w:pPr>
      <w:r w:rsidRPr="000F21D1">
        <w:rPr>
          <w:rFonts w:ascii="方正小标宋简体" w:eastAsia="方正小标宋简体" w:hAnsi="方正小标宋简体" w:cs="Times New Roman" w:hint="eastAsia"/>
          <w:bCs/>
          <w:color w:val="333333"/>
          <w:sz w:val="44"/>
          <w:szCs w:val="20"/>
          <w:shd w:val="clear" w:color="auto" w:fill="FFFFFF"/>
        </w:rPr>
        <w:t>广州开发区云埔工业区管理委员会</w:t>
      </w:r>
    </w:p>
    <w:p w:rsidR="001B6E2B" w:rsidRPr="000F21D1" w:rsidRDefault="00446C0F" w:rsidP="000F21D1"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 w:hAnsi="方正小标宋简体" w:cs="Times New Roman"/>
          <w:bCs/>
          <w:color w:val="333333"/>
          <w:sz w:val="44"/>
          <w:szCs w:val="20"/>
          <w:shd w:val="clear" w:color="auto" w:fill="FFFFFF"/>
        </w:rPr>
      </w:pPr>
      <w:r w:rsidRPr="000F21D1">
        <w:rPr>
          <w:rFonts w:ascii="方正小标宋简体" w:eastAsia="方正小标宋简体" w:hAnsi="方正小标宋简体" w:cs="Times New Roman" w:hint="eastAsia"/>
          <w:bCs/>
          <w:color w:val="333333"/>
          <w:sz w:val="44"/>
          <w:szCs w:val="20"/>
          <w:shd w:val="clear" w:color="auto" w:fill="FFFFFF"/>
        </w:rPr>
        <w:t>2</w:t>
      </w:r>
      <w:r w:rsidRPr="000F21D1">
        <w:rPr>
          <w:rFonts w:ascii="方正小标宋简体" w:eastAsia="方正小标宋简体" w:hAnsi="方正小标宋简体" w:cs="Times New Roman"/>
          <w:bCs/>
          <w:color w:val="333333"/>
          <w:sz w:val="44"/>
          <w:szCs w:val="20"/>
          <w:shd w:val="clear" w:color="auto" w:fill="FFFFFF"/>
        </w:rPr>
        <w:t>020</w:t>
      </w:r>
      <w:r w:rsidRPr="000F21D1">
        <w:rPr>
          <w:rFonts w:ascii="方正小标宋简体" w:eastAsia="方正小标宋简体" w:hAnsi="方正小标宋简体" w:cs="Times New Roman" w:hint="eastAsia"/>
          <w:bCs/>
          <w:color w:val="333333"/>
          <w:sz w:val="44"/>
          <w:szCs w:val="20"/>
          <w:shd w:val="clear" w:color="auto" w:fill="FFFFFF"/>
        </w:rPr>
        <w:t>年</w:t>
      </w:r>
      <w:r w:rsidR="007C0E51" w:rsidRPr="000F21D1">
        <w:rPr>
          <w:rFonts w:ascii="方正小标宋简体" w:eastAsia="方正小标宋简体" w:hAnsi="方正小标宋简体" w:cs="Times New Roman"/>
          <w:bCs/>
          <w:color w:val="333333"/>
          <w:sz w:val="44"/>
          <w:szCs w:val="20"/>
          <w:shd w:val="clear" w:color="auto" w:fill="FFFFFF"/>
        </w:rPr>
        <w:t>政府信息公开工作年度报告</w:t>
      </w:r>
    </w:p>
    <w:p w:rsidR="001B6E2B" w:rsidRDefault="001B6E2B">
      <w:pPr>
        <w:shd w:val="solid" w:color="FFFFFF" w:fill="auto"/>
        <w:autoSpaceDN w:val="0"/>
        <w:spacing w:line="432" w:lineRule="atLeast"/>
        <w:ind w:firstLine="420"/>
        <w:rPr>
          <w:rFonts w:ascii="Times New Roman" w:eastAsia="宋体" w:hAnsi="Times New Roman" w:cs="Times New Roman"/>
          <w:color w:val="333333"/>
          <w:sz w:val="24"/>
          <w:szCs w:val="20"/>
          <w:shd w:val="clear" w:color="auto" w:fill="FFFFFF"/>
        </w:rPr>
      </w:pPr>
    </w:p>
    <w:p w:rsidR="001B6E2B" w:rsidRDefault="007C0E51">
      <w:pPr>
        <w:numPr>
          <w:ilvl w:val="0"/>
          <w:numId w:val="1"/>
        </w:numPr>
        <w:shd w:val="solid" w:color="FFFFFF" w:fill="auto"/>
        <w:autoSpaceDN w:val="0"/>
        <w:spacing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t>总体情况</w:t>
      </w:r>
    </w:p>
    <w:p w:rsidR="001B6E2B" w:rsidRDefault="007C0E51">
      <w:pPr>
        <w:shd w:val="solid" w:color="FFFFFF" w:fill="auto"/>
        <w:autoSpaceDN w:val="0"/>
        <w:spacing w:line="432" w:lineRule="atLeast"/>
        <w:ind w:leftChars="200" w:left="420" w:firstLineChars="200" w:firstLine="640"/>
        <w:rPr>
          <w:rFonts w:ascii="仿宋" w:eastAsia="仿宋" w:hAnsi="仿宋" w:cs="仿宋"/>
          <w:bCs/>
          <w:color w:val="333333"/>
          <w:sz w:val="32"/>
          <w:szCs w:val="2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333333"/>
          <w:sz w:val="32"/>
          <w:szCs w:val="20"/>
          <w:shd w:val="clear" w:color="auto" w:fill="FFFFFF"/>
        </w:rPr>
        <w:t>我委2020年全年主动公开政府信息共36条，其中：1.组织机构类信息3条；2.部门文件类（包括规章、规范性文件）信息3条；3.动态类信息27条；行政职权类信息（包括行政审批、执法等）0条；5.财政预决算信息2条；建议提案办理结果类信息0条；7.其他信息1条。</w:t>
      </w:r>
    </w:p>
    <w:p w:rsidR="001B6E2B" w:rsidRDefault="007C0E51">
      <w:pPr>
        <w:shd w:val="solid" w:color="FFFFFF" w:fill="auto"/>
        <w:autoSpaceDN w:val="0"/>
        <w:spacing w:line="432" w:lineRule="atLeast"/>
        <w:ind w:leftChars="200" w:left="420" w:firstLineChars="200" w:firstLine="640"/>
        <w:rPr>
          <w:rFonts w:ascii="仿宋" w:eastAsia="仿宋" w:hAnsi="仿宋" w:cs="仿宋"/>
          <w:bCs/>
          <w:color w:val="333333"/>
          <w:sz w:val="32"/>
          <w:szCs w:val="2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333333"/>
          <w:sz w:val="32"/>
          <w:szCs w:val="20"/>
          <w:shd w:val="clear" w:color="auto" w:fill="FFFFFF"/>
        </w:rPr>
        <w:t>在主动公开信息工作中，通过不同渠道和方式公开政府信息情况；政府网站公开信息36条，微博微信公开信息0条，新闻发布会公开信息0条，新闻媒体公开信息0条，政府公报公开信息0条。</w:t>
      </w:r>
    </w:p>
    <w:p w:rsidR="001B6E2B" w:rsidRDefault="007C0E51">
      <w:pPr>
        <w:shd w:val="solid" w:color="FFFFFF" w:fill="auto"/>
        <w:autoSpaceDN w:val="0"/>
        <w:spacing w:line="432" w:lineRule="atLeast"/>
        <w:ind w:leftChars="200" w:left="420" w:firstLineChars="200" w:firstLine="640"/>
        <w:rPr>
          <w:rFonts w:ascii="仿宋" w:eastAsia="仿宋" w:hAnsi="仿宋" w:cs="仿宋"/>
          <w:bCs/>
          <w:color w:val="333333"/>
          <w:sz w:val="32"/>
          <w:szCs w:val="2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333333"/>
          <w:sz w:val="32"/>
          <w:szCs w:val="20"/>
          <w:shd w:val="clear" w:color="auto" w:fill="FFFFFF"/>
        </w:rPr>
        <w:t>回应公众关注热点或重大舆情0次。通过不同渠道和方法回应解读情况；举办新闻发布会0，组织政府网站在线访谈0次，发布政策解读稿0篇，通过微博微信回应时间0次，通过新闻媒体等其他方式回应事件0次。</w:t>
      </w:r>
    </w:p>
    <w:p w:rsidR="001B6E2B" w:rsidRDefault="007C0E51">
      <w:pPr>
        <w:shd w:val="solid" w:color="FFFFFF" w:fill="auto"/>
        <w:autoSpaceDN w:val="0"/>
        <w:spacing w:line="432" w:lineRule="atLeast"/>
        <w:ind w:leftChars="200" w:left="420" w:firstLineChars="200" w:firstLine="640"/>
        <w:rPr>
          <w:rFonts w:ascii="仿宋" w:eastAsia="仿宋" w:hAnsi="仿宋" w:cs="仿宋"/>
          <w:bCs/>
          <w:color w:val="333333"/>
          <w:sz w:val="32"/>
          <w:szCs w:val="2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333333"/>
          <w:sz w:val="32"/>
          <w:szCs w:val="20"/>
          <w:shd w:val="clear" w:color="auto" w:fill="FFFFFF"/>
        </w:rPr>
        <w:t>我委2020年共受理信息公开0件。</w:t>
      </w:r>
    </w:p>
    <w:p w:rsidR="001B6E2B" w:rsidRDefault="001B6E2B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</w:p>
    <w:p w:rsidR="001B6E2B" w:rsidRDefault="001B6E2B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</w:p>
    <w:p w:rsidR="001B6E2B" w:rsidRDefault="001B6E2B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</w:p>
    <w:p w:rsidR="001B6E2B" w:rsidRDefault="007C0E51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宋体" w:hAnsi="Times New Roman" w:cs="Times New Roman"/>
          <w:b/>
          <w:color w:val="333333"/>
          <w:sz w:val="24"/>
          <w:szCs w:val="20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lastRenderedPageBreak/>
        <w:t>二、主动公开政府信息情况</w:t>
      </w:r>
    </w:p>
    <w:tbl>
      <w:tblPr>
        <w:tblW w:w="87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51"/>
        <w:gridCol w:w="1417"/>
        <w:gridCol w:w="22"/>
        <w:gridCol w:w="1396"/>
        <w:gridCol w:w="850"/>
        <w:gridCol w:w="2369"/>
      </w:tblGrid>
      <w:tr w:rsidR="001B6E2B" w:rsidTr="00AF663E">
        <w:trPr>
          <w:trHeight w:val="514"/>
          <w:jc w:val="center"/>
        </w:trPr>
        <w:tc>
          <w:tcPr>
            <w:tcW w:w="87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第二十条第（一）项</w:t>
            </w:r>
          </w:p>
        </w:tc>
      </w:tr>
      <w:tr w:rsidR="001B6E2B" w:rsidTr="00AF663E">
        <w:trPr>
          <w:trHeight w:val="798"/>
          <w:jc w:val="center"/>
        </w:trPr>
        <w:tc>
          <w:tcPr>
            <w:tcW w:w="18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信息内容</w:t>
            </w:r>
          </w:p>
        </w:tc>
        <w:tc>
          <w:tcPr>
            <w:tcW w:w="229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本年新制作数量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本年新公开数量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对外公开总数量</w:t>
            </w:r>
          </w:p>
        </w:tc>
      </w:tr>
      <w:tr w:rsidR="001B6E2B" w:rsidTr="00AF663E">
        <w:trPr>
          <w:trHeight w:val="602"/>
          <w:jc w:val="center"/>
        </w:trPr>
        <w:tc>
          <w:tcPr>
            <w:tcW w:w="18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规章</w:t>
            </w:r>
          </w:p>
        </w:tc>
        <w:tc>
          <w:tcPr>
            <w:tcW w:w="229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　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1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</w:t>
            </w:r>
          </w:p>
        </w:tc>
      </w:tr>
      <w:tr w:rsidR="001B6E2B" w:rsidTr="00AF663E">
        <w:trPr>
          <w:trHeight w:val="602"/>
          <w:jc w:val="center"/>
        </w:trPr>
        <w:tc>
          <w:tcPr>
            <w:tcW w:w="18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规范性文件</w:t>
            </w:r>
          </w:p>
        </w:tc>
        <w:tc>
          <w:tcPr>
            <w:tcW w:w="229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　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1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</w:t>
            </w:r>
          </w:p>
        </w:tc>
      </w:tr>
      <w:tr w:rsidR="001B6E2B" w:rsidTr="00AF663E">
        <w:trPr>
          <w:trHeight w:val="602"/>
          <w:jc w:val="center"/>
        </w:trPr>
        <w:tc>
          <w:tcPr>
            <w:tcW w:w="87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第二十条第（五）项</w:t>
            </w:r>
          </w:p>
        </w:tc>
      </w:tr>
      <w:tr w:rsidR="001B6E2B" w:rsidTr="00B354B9">
        <w:trPr>
          <w:trHeight w:val="624"/>
          <w:jc w:val="center"/>
        </w:trPr>
        <w:tc>
          <w:tcPr>
            <w:tcW w:w="18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信息内容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上一年项目数量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本年增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减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处理决定数量</w:t>
            </w:r>
          </w:p>
        </w:tc>
      </w:tr>
      <w:tr w:rsidR="001B6E2B" w:rsidTr="00B354B9">
        <w:trPr>
          <w:trHeight w:val="602"/>
          <w:jc w:val="center"/>
        </w:trPr>
        <w:tc>
          <w:tcPr>
            <w:tcW w:w="18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行政许可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</w:t>
            </w:r>
          </w:p>
        </w:tc>
      </w:tr>
      <w:tr w:rsidR="001B6E2B" w:rsidTr="00B354B9">
        <w:trPr>
          <w:trHeight w:val="602"/>
          <w:jc w:val="center"/>
        </w:trPr>
        <w:tc>
          <w:tcPr>
            <w:tcW w:w="18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其他对外管理服务事项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</w:t>
            </w:r>
          </w:p>
        </w:tc>
      </w:tr>
      <w:tr w:rsidR="001B6E2B" w:rsidTr="00AF663E">
        <w:trPr>
          <w:trHeight w:val="602"/>
          <w:jc w:val="center"/>
        </w:trPr>
        <w:tc>
          <w:tcPr>
            <w:tcW w:w="87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第二十条第（六）项</w:t>
            </w:r>
          </w:p>
        </w:tc>
      </w:tr>
      <w:tr w:rsidR="001B6E2B" w:rsidTr="00B354B9">
        <w:trPr>
          <w:trHeight w:val="624"/>
          <w:jc w:val="center"/>
        </w:trPr>
        <w:tc>
          <w:tcPr>
            <w:tcW w:w="18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信息内容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上一年项目数量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本年增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减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处理决定数量</w:t>
            </w:r>
          </w:p>
        </w:tc>
      </w:tr>
      <w:tr w:rsidR="001B6E2B" w:rsidTr="00B354B9">
        <w:trPr>
          <w:trHeight w:val="602"/>
          <w:jc w:val="center"/>
        </w:trPr>
        <w:tc>
          <w:tcPr>
            <w:tcW w:w="18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行政处罚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</w:t>
            </w:r>
          </w:p>
        </w:tc>
      </w:tr>
      <w:tr w:rsidR="001B6E2B" w:rsidTr="00B354B9">
        <w:trPr>
          <w:trHeight w:val="602"/>
          <w:jc w:val="center"/>
        </w:trPr>
        <w:tc>
          <w:tcPr>
            <w:tcW w:w="18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行政强制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　</w:t>
            </w:r>
          </w:p>
        </w:tc>
      </w:tr>
      <w:tr w:rsidR="001B6E2B" w:rsidTr="00AF663E">
        <w:trPr>
          <w:trHeight w:val="602"/>
          <w:jc w:val="center"/>
        </w:trPr>
        <w:tc>
          <w:tcPr>
            <w:tcW w:w="87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第二十条第（八）项</w:t>
            </w:r>
          </w:p>
        </w:tc>
      </w:tr>
      <w:tr w:rsidR="001B6E2B" w:rsidTr="00B354B9">
        <w:trPr>
          <w:trHeight w:val="602"/>
          <w:jc w:val="center"/>
        </w:trPr>
        <w:tc>
          <w:tcPr>
            <w:tcW w:w="26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信息内容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上一年项目数量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本年增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减</w:t>
            </w:r>
          </w:p>
        </w:tc>
      </w:tr>
      <w:tr w:rsidR="001B6E2B" w:rsidTr="00B354B9">
        <w:trPr>
          <w:trHeight w:val="602"/>
          <w:jc w:val="center"/>
        </w:trPr>
        <w:tc>
          <w:tcPr>
            <w:tcW w:w="26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行政事业性收费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trHeight w:val="602"/>
          <w:jc w:val="center"/>
        </w:trPr>
        <w:tc>
          <w:tcPr>
            <w:tcW w:w="873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第二十条第（九）项</w:t>
            </w:r>
          </w:p>
        </w:tc>
      </w:tr>
      <w:tr w:rsidR="001B6E2B" w:rsidTr="00B354B9">
        <w:trPr>
          <w:trHeight w:val="602"/>
          <w:jc w:val="center"/>
        </w:trPr>
        <w:tc>
          <w:tcPr>
            <w:tcW w:w="26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信息内容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采购项目数量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采购总金额</w:t>
            </w:r>
          </w:p>
        </w:tc>
      </w:tr>
      <w:tr w:rsidR="001B6E2B" w:rsidTr="00B354B9">
        <w:trPr>
          <w:trHeight w:val="602"/>
          <w:jc w:val="center"/>
        </w:trPr>
        <w:tc>
          <w:tcPr>
            <w:tcW w:w="26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政府集中采购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60292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32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</w:tbl>
    <w:p w:rsidR="00AF663E" w:rsidRDefault="00AF663E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</w:p>
    <w:p w:rsidR="001B6E2B" w:rsidRDefault="007C0E51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宋体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lastRenderedPageBreak/>
        <w:t>三、收到和处理政府信息公开申请情况</w:t>
      </w: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44"/>
        <w:gridCol w:w="2239"/>
        <w:gridCol w:w="595"/>
        <w:gridCol w:w="753"/>
        <w:gridCol w:w="775"/>
        <w:gridCol w:w="774"/>
        <w:gridCol w:w="774"/>
        <w:gridCol w:w="646"/>
        <w:gridCol w:w="824"/>
      </w:tblGrid>
      <w:tr w:rsidR="001B6E2B" w:rsidTr="00AF663E">
        <w:trPr>
          <w:jc w:val="center"/>
        </w:trPr>
        <w:tc>
          <w:tcPr>
            <w:tcW w:w="3681" w:type="dxa"/>
            <w:gridSpan w:val="3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5141" w:type="dxa"/>
            <w:gridSpan w:val="7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申请人情况</w:t>
            </w:r>
          </w:p>
        </w:tc>
      </w:tr>
      <w:tr w:rsidR="001B6E2B" w:rsidTr="00AF663E">
        <w:trPr>
          <w:jc w:val="center"/>
        </w:trPr>
        <w:tc>
          <w:tcPr>
            <w:tcW w:w="3681" w:type="dxa"/>
            <w:gridSpan w:val="3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9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自然人</w:t>
            </w:r>
          </w:p>
        </w:tc>
        <w:tc>
          <w:tcPr>
            <w:tcW w:w="3722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法人或其他组织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总计</w:t>
            </w:r>
          </w:p>
        </w:tc>
      </w:tr>
      <w:tr w:rsidR="001B6E2B" w:rsidTr="00AF663E">
        <w:trPr>
          <w:jc w:val="center"/>
        </w:trPr>
        <w:tc>
          <w:tcPr>
            <w:tcW w:w="3681" w:type="dxa"/>
            <w:gridSpan w:val="3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9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shd w:val="clear" w:color="auto" w:fill="FFFFFF"/>
              </w:rPr>
              <w:t>商业企业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shd w:val="clear" w:color="auto" w:fill="FFFFFF"/>
              </w:rPr>
              <w:t>科研机构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shd w:val="clear" w:color="auto" w:fill="FFFFFF"/>
              </w:rPr>
              <w:t>社会公益组织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shd w:val="clear" w:color="auto" w:fill="FFFFFF"/>
              </w:rPr>
              <w:t>法律服务机构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shd w:val="clear" w:color="auto" w:fill="FFFFFF"/>
              </w:rPr>
              <w:t>其他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1B6E2B" w:rsidTr="00AF663E">
        <w:trPr>
          <w:jc w:val="center"/>
        </w:trPr>
        <w:tc>
          <w:tcPr>
            <w:tcW w:w="3681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0656F4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 w:rsidR="007C0E51"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0656F4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 w:rsidR="007C0E51"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3681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三、本年度办理结果</w:t>
            </w:r>
          </w:p>
        </w:tc>
        <w:tc>
          <w:tcPr>
            <w:tcW w:w="318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（一）予以公开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18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overflowPunct w:val="0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（三）不予公开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属于国家秘密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其他法律行政法规禁止公开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危及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三安全一稳定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”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4.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保护第三方合法权益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5.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属于三类内部事务信息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D07C30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 w:rsidR="007C0E51"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D07C30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 w:rsidR="007C0E51"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6.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属于四类过程性信息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7.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属于行政执法案卷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8.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属于行政查询事项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（四）无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lastRenderedPageBreak/>
              <w:t>法提供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lastRenderedPageBreak/>
              <w:t>1.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本机关不掌握相关政府信息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没有现成信息需要另行制作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补正后申请内容仍不明确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（五）不予处理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信访举报投诉类申请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重复申请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要求提供公开出版物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4.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无正当理由大量反复申请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44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5.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要求行政机关确认或重新出具已获取信息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18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（六）其他处理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183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（七）总计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D07C30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r w:rsidR="007C0E51"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D07C30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0</w:t>
            </w:r>
            <w:bookmarkStart w:id="0" w:name="_GoBack"/>
            <w:bookmarkEnd w:id="0"/>
            <w:r w:rsidR="007C0E51"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1B6E2B" w:rsidTr="00AF663E">
        <w:trPr>
          <w:trHeight w:val="905"/>
          <w:jc w:val="center"/>
        </w:trPr>
        <w:tc>
          <w:tcPr>
            <w:tcW w:w="3681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四、结转下年度继续办理</w:t>
            </w:r>
          </w:p>
        </w:tc>
        <w:tc>
          <w:tcPr>
            <w:tcW w:w="59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4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</w:tbl>
    <w:p w:rsidR="00274BA3" w:rsidRDefault="00274BA3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</w:p>
    <w:p w:rsidR="00274BA3" w:rsidRDefault="00274BA3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</w:p>
    <w:p w:rsidR="00274BA3" w:rsidRDefault="00274BA3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</w:p>
    <w:p w:rsidR="00274BA3" w:rsidRDefault="00274BA3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</w:p>
    <w:p w:rsidR="00274BA3" w:rsidRDefault="00274BA3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</w:p>
    <w:p w:rsidR="00274BA3" w:rsidRDefault="00274BA3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</w:p>
    <w:p w:rsidR="00274BA3" w:rsidRDefault="00274BA3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</w:p>
    <w:p w:rsidR="001B6E2B" w:rsidRDefault="007C0E51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lastRenderedPageBreak/>
        <w:t>四、政府信息公开行政复议、行政诉讼情况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81"/>
        <w:gridCol w:w="582"/>
        <w:gridCol w:w="580"/>
        <w:gridCol w:w="638"/>
        <w:gridCol w:w="530"/>
        <w:gridCol w:w="581"/>
        <w:gridCol w:w="583"/>
        <w:gridCol w:w="582"/>
        <w:gridCol w:w="587"/>
        <w:gridCol w:w="582"/>
        <w:gridCol w:w="583"/>
        <w:gridCol w:w="583"/>
        <w:gridCol w:w="582"/>
        <w:gridCol w:w="668"/>
      </w:tblGrid>
      <w:tr w:rsidR="001B6E2B" w:rsidTr="00274BA3">
        <w:trPr>
          <w:trHeight w:val="778"/>
          <w:jc w:val="center"/>
        </w:trPr>
        <w:tc>
          <w:tcPr>
            <w:tcW w:w="2962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行政复议</w:t>
            </w:r>
          </w:p>
        </w:tc>
        <w:tc>
          <w:tcPr>
            <w:tcW w:w="5861" w:type="dxa"/>
            <w:gridSpan w:val="10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行政诉讼</w:t>
            </w:r>
          </w:p>
        </w:tc>
      </w:tr>
      <w:tr w:rsidR="001B6E2B" w:rsidTr="00274BA3">
        <w:trPr>
          <w:trHeight w:val="596"/>
          <w:jc w:val="center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638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总计</w:t>
            </w:r>
          </w:p>
        </w:tc>
        <w:tc>
          <w:tcPr>
            <w:tcW w:w="2863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未经复议直接起诉</w:t>
            </w:r>
          </w:p>
        </w:tc>
        <w:tc>
          <w:tcPr>
            <w:tcW w:w="2998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复议后起诉</w:t>
            </w:r>
          </w:p>
        </w:tc>
      </w:tr>
      <w:tr w:rsidR="001B6E2B" w:rsidTr="00274BA3">
        <w:trPr>
          <w:trHeight w:val="2345"/>
          <w:jc w:val="center"/>
        </w:trPr>
        <w:tc>
          <w:tcPr>
            <w:tcW w:w="581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81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8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63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1B6E2B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3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总计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  <w:t>总计</w:t>
            </w:r>
          </w:p>
        </w:tc>
      </w:tr>
      <w:tr w:rsidR="001B6E2B" w:rsidTr="00274BA3">
        <w:trPr>
          <w:trHeight w:val="1672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7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E2B" w:rsidRDefault="007C0E51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  <w:shd w:val="clear" w:color="auto" w:fill="FFFFFF"/>
              </w:rPr>
              <w:t>0</w:t>
            </w:r>
          </w:p>
        </w:tc>
      </w:tr>
    </w:tbl>
    <w:p w:rsidR="001B6E2B" w:rsidRPr="00274BA3" w:rsidRDefault="00274BA3" w:rsidP="00274BA3">
      <w:pPr>
        <w:shd w:val="solid" w:color="FFFFFF" w:fill="auto"/>
        <w:autoSpaceDN w:val="0"/>
        <w:spacing w:beforeLines="50" w:before="156" w:line="432" w:lineRule="atLeast"/>
        <w:ind w:firstLineChars="50" w:firstLine="160"/>
        <w:textAlignment w:val="center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  <w:r>
        <w:rPr>
          <w:rFonts w:ascii="Times New Roman" w:eastAsia="黑体" w:hAnsi="Times New Roman" w:cs="Times New Roman" w:hint="eastAsia"/>
          <w:bCs/>
          <w:color w:val="333333"/>
          <w:sz w:val="32"/>
          <w:szCs w:val="20"/>
          <w:shd w:val="clear" w:color="auto" w:fill="FFFFFF"/>
        </w:rPr>
        <w:t>五</w:t>
      </w:r>
      <w:r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t>、</w:t>
      </w:r>
      <w:r w:rsidR="007C0E51" w:rsidRPr="00274BA3"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t>存在的主要问题及改进情况</w:t>
      </w:r>
    </w:p>
    <w:p w:rsidR="001B6E2B" w:rsidRDefault="007C0E51">
      <w:pPr>
        <w:shd w:val="solid" w:color="FFFFFF" w:fill="auto"/>
        <w:autoSpaceDN w:val="0"/>
        <w:spacing w:beforeLines="50" w:before="156" w:line="432" w:lineRule="atLeast"/>
        <w:ind w:left="160"/>
        <w:textAlignment w:val="center"/>
        <w:rPr>
          <w:rFonts w:ascii="仿宋" w:eastAsia="仿宋" w:hAnsi="仿宋" w:cs="仿宋"/>
          <w:bCs/>
          <w:color w:val="333333"/>
          <w:sz w:val="32"/>
          <w:szCs w:val="20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333333"/>
          <w:sz w:val="32"/>
          <w:szCs w:val="20"/>
          <w:shd w:val="clear" w:color="auto" w:fill="FFFFFF"/>
        </w:rPr>
        <w:t xml:space="preserve">  2020年我委信息公开虽然取得一定成效，但仍存在一些不足之处。如政府信息公开的广度和深度有待进一步拓展，园区企业关注的投资创业，办事服务等方面信息公开较</w:t>
      </w:r>
      <w:r w:rsidR="00C46FBE">
        <w:rPr>
          <w:rFonts w:ascii="仿宋" w:eastAsia="仿宋" w:hAnsi="仿宋" w:cs="仿宋" w:hint="eastAsia"/>
          <w:bCs/>
          <w:color w:val="333333"/>
          <w:sz w:val="32"/>
          <w:szCs w:val="20"/>
          <w:shd w:val="clear" w:color="auto" w:fill="FFFFFF"/>
        </w:rPr>
        <w:t>少</w:t>
      </w:r>
      <w:r>
        <w:rPr>
          <w:rFonts w:ascii="仿宋" w:eastAsia="仿宋" w:hAnsi="仿宋" w:cs="仿宋" w:hint="eastAsia"/>
          <w:bCs/>
          <w:color w:val="333333"/>
          <w:sz w:val="32"/>
          <w:szCs w:val="20"/>
          <w:shd w:val="clear" w:color="auto" w:fill="FFFFFF"/>
        </w:rPr>
        <w:t>，政府信息公开量不够全面。</w:t>
      </w:r>
    </w:p>
    <w:p w:rsidR="001B6E2B" w:rsidRDefault="007C0E51">
      <w:pPr>
        <w:shd w:val="solid" w:color="FFFFFF" w:fill="auto"/>
        <w:autoSpaceDN w:val="0"/>
        <w:spacing w:line="432" w:lineRule="atLeast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t xml:space="preserve"> </w:t>
      </w:r>
      <w:r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t>六、其他需要报告的事项</w:t>
      </w:r>
    </w:p>
    <w:p w:rsidR="001B6E2B" w:rsidRDefault="007C0E51">
      <w:pPr>
        <w:ind w:firstLineChars="200" w:firstLine="64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20"/>
          <w:shd w:val="clear" w:color="auto" w:fill="FFFFFF"/>
        </w:rPr>
        <w:t>无</w:t>
      </w:r>
    </w:p>
    <w:p w:rsidR="001B6E2B" w:rsidRDefault="001B6E2B">
      <w:pPr>
        <w:rPr>
          <w:rFonts w:ascii="Times New Roman" w:eastAsia="宋体" w:hAnsi="Times New Roman" w:cs="Times New Roman"/>
          <w:szCs w:val="20"/>
        </w:rPr>
      </w:pPr>
    </w:p>
    <w:p w:rsidR="001B6E2B" w:rsidRDefault="001B6E2B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B6E2B" w:rsidRDefault="001B6E2B"/>
    <w:sectPr w:rsidR="001B6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2B" w:rsidRDefault="00191E2B" w:rsidP="009E71D3">
      <w:r>
        <w:separator/>
      </w:r>
    </w:p>
  </w:endnote>
  <w:endnote w:type="continuationSeparator" w:id="0">
    <w:p w:rsidR="00191E2B" w:rsidRDefault="00191E2B" w:rsidP="009E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2B" w:rsidRDefault="00191E2B" w:rsidP="009E71D3">
      <w:r>
        <w:separator/>
      </w:r>
    </w:p>
  </w:footnote>
  <w:footnote w:type="continuationSeparator" w:id="0">
    <w:p w:rsidR="00191E2B" w:rsidRDefault="00191E2B" w:rsidP="009E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2A6999"/>
    <w:multiLevelType w:val="singleLevel"/>
    <w:tmpl w:val="B32A6999"/>
    <w:lvl w:ilvl="0">
      <w:start w:val="5"/>
      <w:numFmt w:val="chineseCounting"/>
      <w:suff w:val="nothing"/>
      <w:lvlText w:val="%1、"/>
      <w:lvlJc w:val="left"/>
      <w:pPr>
        <w:ind w:left="160" w:firstLine="0"/>
      </w:pPr>
      <w:rPr>
        <w:rFonts w:hint="eastAsia"/>
      </w:rPr>
    </w:lvl>
  </w:abstractNum>
  <w:abstractNum w:abstractNumId="1" w15:restartNumberingAfterBreak="0">
    <w:nsid w:val="F45776C3"/>
    <w:multiLevelType w:val="singleLevel"/>
    <w:tmpl w:val="F45776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FB42BF4"/>
    <w:multiLevelType w:val="hybridMultilevel"/>
    <w:tmpl w:val="2DFEF29A"/>
    <w:lvl w:ilvl="0" w:tplc="054A454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D97F21"/>
    <w:rsid w:val="000656F4"/>
    <w:rsid w:val="000F21D1"/>
    <w:rsid w:val="00191E2B"/>
    <w:rsid w:val="001B6E2B"/>
    <w:rsid w:val="001D1645"/>
    <w:rsid w:val="00274BA3"/>
    <w:rsid w:val="002A223D"/>
    <w:rsid w:val="00420CCB"/>
    <w:rsid w:val="00446C0F"/>
    <w:rsid w:val="0060292C"/>
    <w:rsid w:val="007C0E51"/>
    <w:rsid w:val="009E71D3"/>
    <w:rsid w:val="00A718BD"/>
    <w:rsid w:val="00AF0CBB"/>
    <w:rsid w:val="00AF663E"/>
    <w:rsid w:val="00B354B9"/>
    <w:rsid w:val="00C46FBE"/>
    <w:rsid w:val="00D07C30"/>
    <w:rsid w:val="00DE6F0A"/>
    <w:rsid w:val="00E05256"/>
    <w:rsid w:val="00E82D66"/>
    <w:rsid w:val="00EF51DE"/>
    <w:rsid w:val="00FD515D"/>
    <w:rsid w:val="1AA97D25"/>
    <w:rsid w:val="475E3EBC"/>
    <w:rsid w:val="50477B77"/>
    <w:rsid w:val="50D97F21"/>
    <w:rsid w:val="57FF0B1E"/>
    <w:rsid w:val="6B9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D635D"/>
  <w15:docId w15:val="{5EBAC1BE-6E89-4C95-8BB2-F9F83554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71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E7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71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274BA3"/>
    <w:pPr>
      <w:ind w:firstLineChars="200" w:firstLine="420"/>
    </w:pPr>
  </w:style>
  <w:style w:type="paragraph" w:styleId="a8">
    <w:name w:val="Balloon Text"/>
    <w:basedOn w:val="a"/>
    <w:link w:val="a9"/>
    <w:rsid w:val="00E05256"/>
    <w:rPr>
      <w:sz w:val="18"/>
      <w:szCs w:val="18"/>
    </w:rPr>
  </w:style>
  <w:style w:type="character" w:customStyle="1" w:styleId="a9">
    <w:name w:val="批注框文本 字符"/>
    <w:basedOn w:val="a0"/>
    <w:link w:val="a8"/>
    <w:rsid w:val="00E052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5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袁旭</cp:lastModifiedBy>
  <cp:revision>12</cp:revision>
  <cp:lastPrinted>2021-05-21T05:18:00Z</cp:lastPrinted>
  <dcterms:created xsi:type="dcterms:W3CDTF">2021-01-12T10:00:00Z</dcterms:created>
  <dcterms:modified xsi:type="dcterms:W3CDTF">2021-05-21T07:59:00Z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