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1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color w:val="FF0000"/>
          <w:w w:val="85"/>
          <w:sz w:val="84"/>
          <w:szCs w:val="7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FF0000"/>
          <w:w w:val="85"/>
          <w:sz w:val="84"/>
          <w:szCs w:val="72"/>
          <w:lang w:eastAsia="zh-CN"/>
        </w:rPr>
        <w:t>广州市黄埔区教育局</w:t>
      </w:r>
    </w:p>
    <w:tbl>
      <w:tblPr>
        <w:tblStyle w:val="4"/>
        <w:tblW w:w="0" w:type="auto"/>
        <w:tblInd w:w="75" w:type="dxa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single" w:color="FF0000" w:sz="2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0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single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540" w:type="dxa"/>
            <w:tcBorders>
              <w:left w:val="nil"/>
              <w:bottom w:val="thinThickSmallGap" w:color="FF0000" w:sz="24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方正仿宋_GBK" w:eastAsia="楷体_GB2312"/>
              </w:rPr>
            </w:pPr>
            <w:r>
              <w:rPr>
                <w:rFonts w:hint="eastAsia" w:ascii="仿宋_GB2312" w:hAnsi="方正仿宋_GBK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single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</w:trPr>
        <w:tc>
          <w:tcPr>
            <w:tcW w:w="8540" w:type="dxa"/>
            <w:tcBorders>
              <w:top w:val="thinThickSmallGap" w:color="FF0000" w:sz="24" w:space="0"/>
              <w:left w:val="nil"/>
            </w:tcBorders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方正仿宋_GBK" w:hAnsi="方正仿宋_GBK"/>
                <w:b/>
                <w:sz w:val="44"/>
              </w:rPr>
            </w:pPr>
            <w:r>
              <w:rPr>
                <w:rFonts w:hint="eastAsia" w:ascii="仿宋_GB2312" w:hAnsi="方正仿宋_GBK"/>
              </w:rPr>
              <w:t xml:space="preserve">                    </w:t>
            </w:r>
            <w:r>
              <w:rPr>
                <w:rFonts w:hint="eastAsia" w:ascii="仿宋_GB2312" w:hAnsi="方正仿宋_GBK"/>
                <w:lang w:val="en-US" w:eastAsia="zh-CN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text" w:horzAnchor="page" w:tblpX="1778" w:tblpY="1246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thickThinSmallGap" w:color="FF0000" w:sz="2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ckThinSmallGap" w:color="FF0000" w:sz="2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</w:trPr>
        <w:tc>
          <w:tcPr>
            <w:tcW w:w="420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方正仿宋_GBK" w:eastAsia="楷体_GB2312"/>
              </w:rPr>
            </w:pPr>
            <w:r>
              <w:rPr>
                <w:rFonts w:hint="eastAsia" w:ascii="仿宋_GB2312" w:hAnsi="方正仿宋_GBK"/>
              </w:rPr>
              <w:t xml:space="preserve">                              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ckThinSmallGap" w:color="FF0000" w:sz="24" w:space="0"/>
            <w:insideV w:val="none" w:color="auto" w:sz="0" w:space="0"/>
          </w:tblBorders>
        </w:tblPrEx>
        <w:trPr>
          <w:cantSplit/>
          <w:trHeight w:val="110" w:hRule="exact"/>
        </w:trPr>
        <w:tc>
          <w:tcPr>
            <w:tcW w:w="4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方正仿宋_GBK" w:hAnsi="方正仿宋_GBK"/>
                <w:b/>
                <w:sz w:val="44"/>
              </w:rPr>
            </w:pPr>
            <w:r>
              <w:rPr>
                <w:rFonts w:hint="eastAsia" w:ascii="仿宋_GB2312" w:hAnsi="方正仿宋_GBK"/>
              </w:rPr>
              <w:t xml:space="preserve">                    </w:t>
            </w:r>
            <w:r>
              <w:rPr>
                <w:rFonts w:hint="eastAsia" w:ascii="仿宋_GB2312" w:hAnsi="方正仿宋_GBK"/>
                <w:lang w:val="en-US" w:eastAsia="zh-CN"/>
              </w:rPr>
              <w:t xml:space="preserve"> 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仿宋_GB2312" w:hAnsi="方正仿宋_GBK"/>
              </w:rPr>
            </w:pPr>
          </w:p>
        </w:tc>
      </w:tr>
    </w:tbl>
    <w:p>
      <w:pPr>
        <w:rPr>
          <w:rFonts w:hint="eastAsia" w:ascii="仿宋" w:hAnsi="仿宋" w:eastAsia="仿宋" w:cs="仿宋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eastAsia="方正小标宋简体" w:hAnsiTheme="minorEastAsia"/>
          <w:color w:val="000000"/>
          <w:sz w:val="44"/>
          <w:szCs w:val="44"/>
        </w:rPr>
      </w:pPr>
      <w:r>
        <w:rPr>
          <w:rFonts w:hint="eastAsia" w:ascii="方正小标宋简体" w:eastAsia="方正小标宋简体" w:hAnsiTheme="minorEastAsia"/>
          <w:color w:val="000000"/>
          <w:sz w:val="44"/>
          <w:szCs w:val="44"/>
        </w:rPr>
        <w:t>广州市黄埔区教育局2019年政府信息公开工作年度报告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浠垮畫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浠垮畫"/>
          <w:kern w:val="0"/>
          <w:sz w:val="32"/>
          <w:szCs w:val="32"/>
        </w:rPr>
        <w:t>一、</w:t>
      </w:r>
      <w:r>
        <w:rPr>
          <w:rFonts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shd w:val="solid" w:color="FFFFFF" w:fill="auto"/>
        <w:autoSpaceDN w:val="0"/>
        <w:spacing w:line="432" w:lineRule="atLeast"/>
        <w:ind w:firstLine="640" w:firstLineChars="200"/>
        <w:rPr>
          <w:rFonts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2019年，在区政府信息公开主管部门的管理及指导下，</w:t>
      </w:r>
      <w:r>
        <w:rPr>
          <w:rFonts w:hint="eastAsia" w:ascii="仿宋" w:hAnsi="仿宋" w:eastAsia="仿宋"/>
          <w:color w:val="424242"/>
          <w:sz w:val="32"/>
          <w:szCs w:val="32"/>
          <w:lang w:eastAsia="zh-CN"/>
        </w:rPr>
        <w:t>区教育</w:t>
      </w:r>
      <w:r>
        <w:rPr>
          <w:rFonts w:hint="eastAsia" w:ascii="仿宋" w:hAnsi="仿宋" w:eastAsia="仿宋"/>
          <w:color w:val="424242"/>
          <w:sz w:val="32"/>
          <w:szCs w:val="32"/>
        </w:rPr>
        <w:t>局建立健全政府信息公开领导机构和工作机构，指定专人负责局政府信息公开工作。根据《中华人民共和国政府信息公开条例》、《广州市政府信息公开规定》、《广州市依申请公开政府信息办法》的规定，制</w:t>
      </w:r>
      <w:r>
        <w:rPr>
          <w:rFonts w:hint="eastAsia" w:ascii="仿宋" w:hAnsi="仿宋" w:eastAsia="仿宋"/>
          <w:color w:val="424242"/>
          <w:sz w:val="32"/>
          <w:szCs w:val="32"/>
          <w:lang w:eastAsia="zh-CN"/>
        </w:rPr>
        <w:t>定</w:t>
      </w:r>
      <w:r>
        <w:rPr>
          <w:rFonts w:hint="eastAsia" w:ascii="仿宋" w:hAnsi="仿宋" w:eastAsia="仿宋"/>
          <w:color w:val="424242"/>
          <w:sz w:val="32"/>
          <w:szCs w:val="32"/>
        </w:rPr>
        <w:t>了《广州市黄埔区教育局政府信息公开指南》并在政府信息公开网站上予以公布。能</w:t>
      </w:r>
      <w:r>
        <w:rPr>
          <w:rFonts w:hint="eastAsia" w:ascii="仿宋" w:hAnsi="仿宋" w:eastAsia="仿宋" w:cs="浠垮畫"/>
          <w:kern w:val="0"/>
          <w:sz w:val="32"/>
          <w:szCs w:val="32"/>
        </w:rPr>
        <w:t>夯实主动公开工作基础，规范依申请公开办理流程，健全政府信息全链条管理，提升信息公开平台建设，加大监督保障力度，全力推进政府信息公开工作。</w:t>
      </w:r>
    </w:p>
    <w:p>
      <w:pPr>
        <w:autoSpaceDE w:val="0"/>
        <w:autoSpaceDN w:val="0"/>
        <w:adjustRightInd w:val="0"/>
        <w:ind w:firstLine="630" w:firstLineChars="196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浠垮畫"/>
          <w:b/>
          <w:kern w:val="0"/>
          <w:sz w:val="32"/>
          <w:szCs w:val="32"/>
        </w:rPr>
        <w:t>主动公开全面落实。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2019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年公开政府信息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398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余条，含规范性文件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2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件、规章文件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1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件、</w:t>
      </w:r>
      <w:r>
        <w:rPr>
          <w:rFonts w:hint="eastAsia" w:ascii="仿宋" w:hAnsi="仿宋" w:eastAsia="仿宋"/>
          <w:color w:val="424242"/>
          <w:sz w:val="32"/>
          <w:szCs w:val="32"/>
        </w:rPr>
        <w:t>财政预决算信息2条</w:t>
      </w:r>
      <w:r>
        <w:rPr>
          <w:rFonts w:hint="eastAsia" w:ascii="仿宋" w:hAnsi="仿宋" w:eastAsia="仿宋" w:cs="浠垮畫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424242"/>
          <w:sz w:val="32"/>
          <w:szCs w:val="32"/>
        </w:rPr>
        <w:t>部门文件5个，通知公告29个，并通过不同渠道和方式回应解读政策情况：举办新闻发布会2次，发布政策解读稿2篇，通过新闻媒体等其他方式回应事件8次等，</w:t>
      </w:r>
      <w:r>
        <w:rPr>
          <w:rFonts w:ascii="仿宋" w:hAnsi="仿宋" w:eastAsia="仿宋"/>
          <w:bCs/>
          <w:sz w:val="32"/>
          <w:szCs w:val="32"/>
        </w:rPr>
        <w:t>回应公众关注热点或重大舆情数</w:t>
      </w:r>
      <w:r>
        <w:rPr>
          <w:rFonts w:hint="eastAsia" w:ascii="仿宋" w:hAnsi="仿宋" w:eastAsia="仿宋"/>
          <w:bCs/>
          <w:sz w:val="32"/>
          <w:szCs w:val="32"/>
        </w:rPr>
        <w:t>28个。</w:t>
      </w:r>
    </w:p>
    <w:p>
      <w:pPr>
        <w:autoSpaceDE w:val="0"/>
        <w:autoSpaceDN w:val="0"/>
        <w:adjustRightInd w:val="0"/>
        <w:ind w:firstLine="630" w:firstLineChars="196"/>
        <w:jc w:val="left"/>
        <w:rPr>
          <w:rFonts w:ascii="仿宋" w:hAnsi="仿宋" w:eastAsia="仿宋" w:cs="浠垮畫"/>
          <w:kern w:val="0"/>
          <w:sz w:val="32"/>
          <w:szCs w:val="32"/>
        </w:rPr>
      </w:pPr>
      <w:r>
        <w:rPr>
          <w:rFonts w:hint="eastAsia" w:ascii="仿宋" w:hAnsi="仿宋" w:eastAsia="仿宋" w:cs="浠垮畫"/>
          <w:b/>
          <w:kern w:val="0"/>
          <w:sz w:val="32"/>
          <w:szCs w:val="32"/>
        </w:rPr>
        <w:t>依申请公开依法规范。</w:t>
      </w:r>
      <w:r>
        <w:rPr>
          <w:rFonts w:hint="eastAsia" w:ascii="仿宋" w:hAnsi="仿宋" w:eastAsia="仿宋" w:cs="浠垮畫"/>
          <w:kern w:val="0"/>
          <w:sz w:val="32"/>
          <w:szCs w:val="32"/>
        </w:rPr>
        <w:t>畅通受理渠道、精准规范答复意见，建立公开机制，进一步提升依申请公开办理质量。全年新收到政府信息公开申请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6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件，办结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6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件，结转下年办理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0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件。因政府信息公开申请引发行政复议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0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件；引发行政诉讼共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0</w:t>
      </w:r>
      <w:r>
        <w:rPr>
          <w:rFonts w:ascii="仿宋" w:hAnsi="仿宋" w:eastAsia="仿宋" w:cs="ä»¿å®‹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件。</w:t>
      </w:r>
    </w:p>
    <w:p>
      <w:pPr>
        <w:autoSpaceDE w:val="0"/>
        <w:autoSpaceDN w:val="0"/>
        <w:adjustRightInd w:val="0"/>
        <w:ind w:firstLine="630" w:firstLineChars="196"/>
        <w:jc w:val="left"/>
        <w:rPr>
          <w:rFonts w:ascii="仿宋" w:hAnsi="仿宋" w:eastAsia="仿宋" w:cs="浠垮畫"/>
          <w:kern w:val="0"/>
          <w:sz w:val="32"/>
          <w:szCs w:val="32"/>
        </w:rPr>
      </w:pPr>
      <w:r>
        <w:rPr>
          <w:rFonts w:hint="eastAsia" w:ascii="仿宋" w:hAnsi="仿宋" w:eastAsia="仿宋" w:cs="浠垮畫"/>
          <w:b/>
          <w:kern w:val="0"/>
          <w:sz w:val="32"/>
          <w:szCs w:val="32"/>
        </w:rPr>
        <w:t>公开信息标准管理。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以编制政府信息主动公开清单为抓手，摸清信息底数，审定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48</w:t>
      </w:r>
      <w:r>
        <w:rPr>
          <w:rFonts w:hint="eastAsia" w:ascii="仿宋" w:hAnsi="仿宋" w:eastAsia="仿宋" w:cs="浠垮畫"/>
          <w:kern w:val="0"/>
          <w:sz w:val="32"/>
          <w:szCs w:val="32"/>
        </w:rPr>
        <w:t>项（条）信息公开标准，并按要求公开执行。执行规范性文件公开及报送市政府公报、移送市信息公开大厅程序，梳理定位政府信息在公开平台发布栏目，严抓发布前审核、发布后更新及文件有效性管理。</w:t>
      </w:r>
    </w:p>
    <w:p>
      <w:pPr>
        <w:autoSpaceDE w:val="0"/>
        <w:autoSpaceDN w:val="0"/>
        <w:adjustRightInd w:val="0"/>
        <w:ind w:firstLine="630" w:firstLineChars="196"/>
        <w:jc w:val="left"/>
        <w:rPr>
          <w:rFonts w:ascii="仿宋" w:hAnsi="仿宋" w:eastAsia="仿宋" w:cs="浠垮畫"/>
          <w:kern w:val="0"/>
          <w:sz w:val="32"/>
          <w:szCs w:val="32"/>
        </w:rPr>
      </w:pPr>
      <w:r>
        <w:rPr>
          <w:rFonts w:hint="eastAsia" w:ascii="仿宋" w:hAnsi="仿宋" w:eastAsia="仿宋" w:cs="浠垮畫"/>
          <w:b/>
          <w:kern w:val="0"/>
          <w:sz w:val="32"/>
          <w:szCs w:val="32"/>
        </w:rPr>
        <w:t>平台建设有序推进。</w:t>
      </w:r>
      <w:r>
        <w:rPr>
          <w:rFonts w:hint="eastAsia" w:ascii="仿宋" w:hAnsi="仿宋" w:eastAsia="仿宋" w:cs="浠垮畫"/>
          <w:kern w:val="0"/>
          <w:sz w:val="32"/>
          <w:szCs w:val="32"/>
        </w:rPr>
        <w:t>按照政府网站建设新平台的指引和考核要求，进一步提升信息公开平台发布功能，规范栏目设置，完善与省政府集约化平台系统对接渠道，升级平台局信息公开目录。</w:t>
      </w:r>
    </w:p>
    <w:p>
      <w:pPr>
        <w:autoSpaceDE w:val="0"/>
        <w:autoSpaceDN w:val="0"/>
        <w:adjustRightInd w:val="0"/>
        <w:ind w:firstLine="630" w:firstLineChars="196"/>
        <w:jc w:val="left"/>
        <w:rPr>
          <w:rFonts w:ascii="仿宋" w:hAnsi="仿宋" w:eastAsia="仿宋" w:cs="浠垮畫"/>
          <w:kern w:val="0"/>
          <w:sz w:val="32"/>
          <w:szCs w:val="32"/>
        </w:rPr>
      </w:pPr>
      <w:r>
        <w:rPr>
          <w:rFonts w:hint="eastAsia" w:ascii="仿宋" w:hAnsi="仿宋" w:eastAsia="仿宋" w:cs="浠垮畫"/>
          <w:b/>
          <w:kern w:val="0"/>
          <w:sz w:val="32"/>
          <w:szCs w:val="32"/>
        </w:rPr>
        <w:t>监督保障强化落实。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以机制建设为保障，严格执行信息发布审核机制、依申请公开会商机制，全面落实监督岗位的责任。积极参加区级信息公开培训，并组织开展局内信息公开培训，共</w:t>
      </w:r>
      <w:r>
        <w:rPr>
          <w:rFonts w:hint="eastAsia" w:ascii="仿宋" w:hAnsi="仿宋" w:eastAsia="仿宋" w:cs="ä»¿å®‹"/>
          <w:kern w:val="0"/>
          <w:sz w:val="32"/>
          <w:szCs w:val="32"/>
        </w:rPr>
        <w:t>50</w:t>
      </w:r>
      <w:r>
        <w:rPr>
          <w:rFonts w:hint="eastAsia" w:ascii="仿宋" w:hAnsi="仿宋" w:eastAsia="仿宋" w:cs="浠垮畫"/>
          <w:kern w:val="0"/>
          <w:sz w:val="32"/>
          <w:szCs w:val="32"/>
        </w:rPr>
        <w:t>余人次参加。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浠垮畫" w:asciiTheme="minorEastAsia" w:hAnsiTheme="minorEastAsia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567"/>
        <w:gridCol w:w="1638"/>
        <w:gridCol w:w="201"/>
        <w:gridCol w:w="720"/>
        <w:gridCol w:w="1325"/>
        <w:gridCol w:w="23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本年新制作数量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本年新公开数量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 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本年增/减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13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+13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其他对外管理服务事项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11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-6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本年增/减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行政处罚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22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-22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行政强制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36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行政事业性收费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36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采购项目数量</w:t>
            </w:r>
          </w:p>
        </w:tc>
        <w:tc>
          <w:tcPr>
            <w:tcW w:w="36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政府集中采购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16</w:t>
            </w:r>
          </w:p>
        </w:tc>
        <w:tc>
          <w:tcPr>
            <w:tcW w:w="36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2126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20800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shd w:val="solid" w:color="FFFFFF" w:fill="auto"/>
        <w:autoSpaceDN w:val="0"/>
        <w:spacing w:before="156" w:beforeLines="50" w:line="432" w:lineRule="atLeast"/>
        <w:ind w:firstLine="640" w:firstLineChars="200"/>
        <w:rPr>
          <w:rFonts w:ascii="Times New Roman" w:hAnsi="Times New Roman" w:eastAsia="宋体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三、收到和处理政府信息公开申请情况</w:t>
      </w:r>
    </w:p>
    <w:tbl>
      <w:tblPr>
        <w:tblStyle w:val="4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945"/>
        <w:gridCol w:w="1277"/>
        <w:gridCol w:w="733"/>
        <w:gridCol w:w="825"/>
        <w:gridCol w:w="753"/>
        <w:gridCol w:w="775"/>
        <w:gridCol w:w="774"/>
        <w:gridCol w:w="774"/>
        <w:gridCol w:w="646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371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自然人</w:t>
            </w:r>
          </w:p>
        </w:tc>
        <w:tc>
          <w:tcPr>
            <w:tcW w:w="372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法人或其他组织</w:t>
            </w:r>
          </w:p>
        </w:tc>
        <w:tc>
          <w:tcPr>
            <w:tcW w:w="82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  <w:t>法律服务机构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  <w:shd w:val="clear" w:color="auto" w:fill="FFFFFF"/>
              </w:rPr>
              <w:t>其他</w:t>
            </w:r>
          </w:p>
        </w:tc>
        <w:tc>
          <w:tcPr>
            <w:tcW w:w="82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6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三、本年度办理结果</w:t>
            </w: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（三）不予公开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1.属于国家秘密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2.其他法律行政法规禁止公开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3.危及“三安全一稳定”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4.保护第三方合法权益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5.属于三类内部事务信息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6.属于四类过程性信息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7.属于行政执法案卷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8.属于行政查询事项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（四）无法提供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1.本机关不掌握相关政府信息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2.没有现成信息需要另行制作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3.补正后申请内容仍不明确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（五）不予处理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1.信访举报投诉类申请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2.重复申请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3.要求提供公开出版物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4.无正当理由大量反复申请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（六）其他处理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（七）总计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6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272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四、结转下年度继续办理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="156" w:beforeLines="50" w:line="432" w:lineRule="atLeast"/>
        <w:ind w:firstLine="640" w:firstLineChars="200"/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2"/>
        <w:gridCol w:w="580"/>
        <w:gridCol w:w="638"/>
        <w:gridCol w:w="530"/>
        <w:gridCol w:w="581"/>
        <w:gridCol w:w="583"/>
        <w:gridCol w:w="582"/>
        <w:gridCol w:w="587"/>
        <w:gridCol w:w="582"/>
        <w:gridCol w:w="583"/>
        <w:gridCol w:w="583"/>
        <w:gridCol w:w="582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96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852" w:type="dxa"/>
            <w:gridSpan w:val="10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993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  <w:jc w:val="center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>
      <w:pPr>
        <w:shd w:val="solid" w:color="FFFFFF" w:fill="auto"/>
        <w:autoSpaceDN w:val="0"/>
        <w:spacing w:before="156" w:beforeLines="50" w:line="432" w:lineRule="atLeast"/>
        <w:textAlignment w:val="center"/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 xml:space="preserve">   </w:t>
      </w: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五、存在的主要问题及改进情况</w:t>
      </w:r>
    </w:p>
    <w:p>
      <w:pPr>
        <w:shd w:val="solid" w:color="FFFFFF" w:fill="auto"/>
        <w:autoSpaceDN w:val="0"/>
        <w:spacing w:before="156" w:beforeLines="50" w:line="432" w:lineRule="atLeast"/>
        <w:textAlignment w:val="center"/>
        <w:rPr>
          <w:rFonts w:ascii="仿宋" w:hAnsi="仿宋" w:eastAsia="仿宋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424242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424242"/>
          <w:sz w:val="32"/>
          <w:szCs w:val="32"/>
        </w:rPr>
        <w:t>本局认真贯彻落实《中华人民共和国政府信息公开条例》，在区政府信息公开主管部门的指导下，扎实做好政府信息公开工作，涌现许多工作亮点。但也还存在一些薄弱环节。一是信息公开途径有待进一步拓展。目前，只通过省政府信息集约化平台、市政府网站和黄埔教育信息网、微信、微博等五种方式进行公开，方式方法不够多，对群众服务力度不够。二是信息公开流程有待进一步完善。三是信息公开宣传力度有待进一步加强。目前，信息公开知晓率不高，有待进一步加强宣传。下一步，</w:t>
      </w:r>
      <w:r>
        <w:rPr>
          <w:rFonts w:hint="eastAsia" w:ascii="仿宋" w:hAnsi="仿宋" w:eastAsia="仿宋"/>
          <w:color w:val="424242"/>
          <w:sz w:val="32"/>
          <w:szCs w:val="32"/>
          <w:lang w:eastAsia="zh-CN"/>
        </w:rPr>
        <w:t>区教育</w:t>
      </w:r>
      <w:r>
        <w:rPr>
          <w:rFonts w:hint="eastAsia" w:ascii="仿宋" w:hAnsi="仿宋" w:eastAsia="仿宋"/>
          <w:color w:val="424242"/>
          <w:sz w:val="32"/>
          <w:szCs w:val="32"/>
        </w:rPr>
        <w:t>局将继续在区政府信息公开主管部门的指导下，一如既往以高度负责的态度做好信息公开工作，并积极探索、完善信息公开的有效途径，加大宣传力度，提高信息公开知晓率，进一步健全信息公开制度,强化机制创新和工作创新，不断提高政府信息公开能力，为人民群众提供更优质更高效的服务。</w:t>
      </w:r>
    </w:p>
    <w:p>
      <w:pPr>
        <w:shd w:val="solid" w:color="FFFFFF" w:fill="auto"/>
        <w:autoSpaceDN w:val="0"/>
        <w:spacing w:line="432" w:lineRule="atLeast"/>
        <w:ind w:firstLine="640" w:firstLineChars="200"/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topLinePunct w:val="0"/>
        <w:autoSpaceDN w:val="0"/>
        <w:bidi w:val="0"/>
        <w:snapToGrid/>
        <w:spacing w:line="520" w:lineRule="exact"/>
        <w:ind w:firstLine="640" w:firstLineChars="200"/>
        <w:outlineLvl w:val="9"/>
        <w:rPr>
          <w:rFonts w:hint="eastAsia" w:ascii="仿宋" w:hAnsi="仿宋" w:eastAsia="仿宋" w:cs="仿宋"/>
          <w:color w:val="42424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广州市黄埔区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教育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局政务公开目录网址为http://www.hp.gov.cn/gzhpjy/gkmlpt/index，如需了解更多相关信息，请前往查询。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sz w:val="32"/>
        </w:rPr>
        <w:pict>
          <v:shape id="_x0000_s1026" o:spid="_x0000_s1026" o:spt="201" type="#_x0000_t201" style="position:absolute;left:0pt;margin-left:212.5pt;margin-top:22pt;height:120pt;width:120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黄埔区教育局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2020年1月18日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ä»¿å®‹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cScr/ofo0pZPeyegZ03N4Qwxt64=" w:salt="5CPVJeg8YIXgju5gENsJT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9"/>
    <w:rsid w:val="0009151B"/>
    <w:rsid w:val="00185E10"/>
    <w:rsid w:val="00211FE3"/>
    <w:rsid w:val="00374C00"/>
    <w:rsid w:val="00383AB1"/>
    <w:rsid w:val="00383D45"/>
    <w:rsid w:val="003B54F0"/>
    <w:rsid w:val="004A34CD"/>
    <w:rsid w:val="004D38DD"/>
    <w:rsid w:val="005130D7"/>
    <w:rsid w:val="0053066E"/>
    <w:rsid w:val="00561910"/>
    <w:rsid w:val="006F3E97"/>
    <w:rsid w:val="0074676C"/>
    <w:rsid w:val="0077745D"/>
    <w:rsid w:val="007A1EFF"/>
    <w:rsid w:val="00822214"/>
    <w:rsid w:val="00980BAA"/>
    <w:rsid w:val="00996563"/>
    <w:rsid w:val="00A607F4"/>
    <w:rsid w:val="00A92769"/>
    <w:rsid w:val="00A9540A"/>
    <w:rsid w:val="00BE1CE7"/>
    <w:rsid w:val="00C12117"/>
    <w:rsid w:val="00CB2F9E"/>
    <w:rsid w:val="00CB6D64"/>
    <w:rsid w:val="00CE49A6"/>
    <w:rsid w:val="00CE6773"/>
    <w:rsid w:val="00E015DA"/>
    <w:rsid w:val="00EB0A4D"/>
    <w:rsid w:val="00FA1331"/>
    <w:rsid w:val="0B843EF4"/>
    <w:rsid w:val="163C21FF"/>
    <w:rsid w:val="191C2DC4"/>
    <w:rsid w:val="701D60ED"/>
    <w:rsid w:val="777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纯文本 New"/>
    <w:basedOn w:val="10"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customStyle="1" w:styleId="10">
    <w:name w:val="正文 New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410</Words>
  <Characters>2340</Characters>
  <Lines>19</Lines>
  <Paragraphs>5</Paragraphs>
  <TotalTime>2</TotalTime>
  <ScaleCrop>false</ScaleCrop>
  <LinksUpToDate>false</LinksUpToDate>
  <CharactersWithSpaces>2745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2020-01-20T00:34:00Z</dcterms:created>
  <dc:creator>微软用户</dc:creator>
  <cp:lastModifiedBy>姚文丽</cp:lastModifiedBy>
  <cp:lastPrinted>2020-01-20T06:03:00Z</cp:lastPrinted>
  <dcterms:modified xsi:type="dcterms:W3CDTF">2021-06-01T09:14:18Z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7D6C25267AC84040A768055A334C3250</vt:lpwstr>
  </property>
  <property fmtid="{D5CDD505-2E9C-101B-9397-08002B2CF9AE}" pid="4" name="docranid">
    <vt:lpwstr>30526AB8A5BB467FA2149F3CEF51BFEF</vt:lpwstr>
  </property>
</Properties>
</file>