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6"/>
        <w:widowControl/>
        <w:shd w:val="clear" w:color="auto" w:fill="FFFFFF"/>
        <w:spacing w:beforeAutospacing="0" w:afterAutospacing="0"/>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val="0"/>
          <w:bCs w:val="0"/>
          <w:color w:val="000000" w:themeColor="text1"/>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shd w:val="clear" w:color="auto" w:fill="FFFFFF"/>
          <w:lang w:eastAsia="zh-CN"/>
          <w14:textFill>
            <w14:solidFill>
              <w14:schemeClr w14:val="tx1"/>
            </w14:solidFill>
          </w14:textFill>
        </w:rPr>
        <w:t>黄埔区文化广电旅游局</w:t>
      </w:r>
      <w:r>
        <w:rPr>
          <w:rFonts w:hint="eastAsia" w:ascii="方正小标宋_GBK" w:hAnsi="方正小标宋_GBK" w:eastAsia="方正小标宋_GBK" w:cs="方正小标宋_GBK"/>
          <w:b w:val="0"/>
          <w:bCs w:val="0"/>
          <w:color w:val="000000" w:themeColor="text1"/>
          <w:sz w:val="44"/>
          <w:szCs w:val="44"/>
          <w:shd w:val="clear" w:color="auto" w:fill="FFFFFF"/>
          <w:lang w:val="en-US" w:eastAsia="zh-CN"/>
          <w14:textFill>
            <w14:solidFill>
              <w14:schemeClr w14:val="tx1"/>
            </w14:solidFill>
          </w14:textFill>
        </w:rPr>
        <w:t>2021年</w:t>
      </w:r>
      <w:r>
        <w:rPr>
          <w:rFonts w:hint="eastAsia" w:ascii="方正小标宋_GBK" w:hAnsi="方正小标宋_GBK" w:eastAsia="方正小标宋_GBK" w:cs="方正小标宋_GBK"/>
          <w:b w:val="0"/>
          <w:bCs w:val="0"/>
          <w:color w:val="000000" w:themeColor="text1"/>
          <w:sz w:val="44"/>
          <w:szCs w:val="44"/>
          <w:shd w:val="clear" w:color="auto" w:fill="FFFFFF"/>
          <w14:textFill>
            <w14:solidFill>
              <w14:schemeClr w14:val="tx1"/>
            </w14:solidFill>
          </w14:textFill>
        </w:rPr>
        <w:t>政府信息</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shd w:val="clear" w:color="auto" w:fill="FFFFFF"/>
          <w14:textFill>
            <w14:solidFill>
              <w14:schemeClr w14:val="tx1"/>
            </w14:solidFill>
          </w14:textFill>
        </w:rPr>
        <w:t>公开工作年度报告</w:t>
      </w:r>
    </w:p>
    <w:p>
      <w:pPr>
        <w:pStyle w:val="6"/>
        <w:widowControl/>
        <w:shd w:val="clear" w:color="auto" w:fill="FFFFFF"/>
        <w:spacing w:beforeAutospacing="0" w:afterAutospacing="0"/>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6"/>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一、总体情况</w:t>
      </w:r>
    </w:p>
    <w:p>
      <w:pPr>
        <w:ind w:firstLine="614" w:firstLineChars="19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本年度报告根据《中华人民共和国政府信息公开条例》（以下简称《条例》）要求，汇总202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黄埔区文化广电旅游局</w:t>
      </w:r>
      <w:r>
        <w:rPr>
          <w:rFonts w:hint="eastAsia" w:ascii="仿宋_GB2312" w:hAnsi="仿宋_GB2312" w:eastAsia="仿宋_GB2312" w:cs="仿宋_GB2312"/>
          <w:color w:val="auto"/>
          <w:sz w:val="32"/>
          <w:szCs w:val="32"/>
        </w:rPr>
        <w:t>政府信息公开年度报告编制而成。报告包括总体情况，主动公开政府信息情况，收到和处理政府信息公开申请情况，政府信息公开行政复议、行政诉讼情况，存在的主要问题及改进情况，其他需要报告的事项等6个部分。报告中所列数据的统计期限自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年12月31日止。</w:t>
      </w:r>
    </w:p>
    <w:p>
      <w:pPr>
        <w:numPr>
          <w:ilvl w:val="0"/>
          <w:numId w:val="1"/>
        </w:numPr>
        <w:ind w:firstLine="614" w:firstLineChars="192"/>
        <w:rPr>
          <w:rFonts w:hint="eastAsia" w:ascii="Times New Roman" w:hAnsi="Times New Roman"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主动公开情况。</w:t>
      </w:r>
      <w:r>
        <w:rPr>
          <w:rFonts w:hint="eastAsia" w:ascii="仿宋_GB2312" w:hAnsi="仿宋_GB2312" w:eastAsia="仿宋_GB2312" w:cs="仿宋_GB2312"/>
          <w:color w:val="auto"/>
          <w:sz w:val="32"/>
          <w:szCs w:val="32"/>
        </w:rPr>
        <w:t>我局</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年全年主动公开政府信息</w:t>
      </w:r>
      <w:r>
        <w:rPr>
          <w:rFonts w:hint="eastAsia" w:ascii="仿宋_GB2312" w:hAnsi="仿宋_GB2312" w:eastAsia="仿宋_GB2312" w:cs="仿宋_GB2312"/>
          <w:color w:val="auto"/>
          <w:sz w:val="32"/>
          <w:szCs w:val="32"/>
          <w:lang w:val="en-US" w:eastAsia="zh-CN"/>
        </w:rPr>
        <w:t>213</w:t>
      </w:r>
      <w:r>
        <w:rPr>
          <w:rFonts w:hint="eastAsia" w:ascii="仿宋_GB2312" w:hAnsi="仿宋_GB2312" w:eastAsia="仿宋_GB2312" w:cs="仿宋_GB2312"/>
          <w:color w:val="auto"/>
          <w:sz w:val="32"/>
          <w:szCs w:val="32"/>
        </w:rPr>
        <w:t>条，其中：1.组织机构类信息</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条；2.部门文件类（包括规章、规范性文件等）信息</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条；3.动态类信息</w:t>
      </w:r>
      <w:r>
        <w:rPr>
          <w:rFonts w:hint="eastAsia" w:ascii="仿宋_GB2312" w:hAnsi="仿宋_GB2312" w:eastAsia="仿宋_GB2312" w:cs="仿宋_GB2312"/>
          <w:color w:val="auto"/>
          <w:sz w:val="32"/>
          <w:szCs w:val="32"/>
          <w:lang w:val="en-US" w:eastAsia="zh-CN"/>
        </w:rPr>
        <w:t>166</w:t>
      </w:r>
      <w:r>
        <w:rPr>
          <w:rFonts w:hint="eastAsia" w:ascii="仿宋_GB2312" w:hAnsi="仿宋_GB2312" w:eastAsia="仿宋_GB2312" w:cs="仿宋_GB2312"/>
          <w:color w:val="auto"/>
          <w:sz w:val="32"/>
          <w:szCs w:val="32"/>
        </w:rPr>
        <w:t>条；4.行政职权类信息（包括行政审批、执法等）</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条； 5.财政预决算信息</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条； 6.建议提案办理结果类信息0条；7.其他信息（包括办事指南、行政审批流程图等）</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条。</w:t>
      </w:r>
    </w:p>
    <w:p>
      <w:pPr>
        <w:numPr>
          <w:numId w:val="0"/>
        </w:numPr>
        <w:ind w:firstLine="640" w:firstLineChars="200"/>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b w:val="0"/>
          <w:bCs w:val="0"/>
          <w:i w:val="0"/>
          <w:caps w:val="0"/>
          <w:color w:val="auto"/>
          <w:spacing w:val="0"/>
          <w:kern w:val="2"/>
          <w:sz w:val="32"/>
          <w:szCs w:val="32"/>
          <w:lang w:val="en-US" w:eastAsia="zh-CN" w:bidi="ar-SA"/>
        </w:rPr>
        <w:t>严格按照“谁起草、谁解读”的原则，努力做到政策性文件与解读文件、解读材料同步组织、同步审签、同步部署。已主动公开《广州市黄埔区人民政府 广州开发区管委会关于印发广州市黄埔区 广州开发区促进文化旅游产业发展办法的通知》《&lt;广州市黄埔区 广州开发区促进文化旅游产业发展办法&gt;政策解读》《一图读懂 广州市黄埔区 广州开发区促进文化旅游产业发展办法“文旅10条2.0”》等政策性材料。</w:t>
      </w:r>
    </w:p>
    <w:p>
      <w:pPr>
        <w:numPr>
          <w:ilvl w:val="0"/>
          <w:numId w:val="1"/>
        </w:numPr>
        <w:ind w:firstLine="614" w:firstLineChars="192"/>
        <w:rPr>
          <w:rFonts w:hint="eastAsia" w:ascii="Times New Roman" w:hAnsi="Times New Roman" w:eastAsia="仿宋_GB2312" w:cs="仿宋_GB2312"/>
          <w:b w:val="0"/>
          <w:bCs w:val="0"/>
          <w:i w:val="0"/>
          <w:caps w:val="0"/>
          <w:color w:val="auto"/>
          <w:spacing w:val="0"/>
          <w:kern w:val="2"/>
          <w:sz w:val="32"/>
          <w:szCs w:val="32"/>
          <w:lang w:val="en-US" w:eastAsia="zh-CN" w:bidi="ar-SA"/>
        </w:rPr>
      </w:pPr>
      <w:r>
        <w:rPr>
          <w:rFonts w:hint="eastAsia" w:ascii="楷体_GB2312" w:hAnsi="楷体_GB2312" w:eastAsia="楷体_GB2312" w:cs="楷体_GB2312"/>
          <w:b w:val="0"/>
          <w:bCs/>
          <w:color w:val="auto"/>
          <w:kern w:val="0"/>
          <w:sz w:val="32"/>
          <w:szCs w:val="32"/>
          <w:lang w:val="en-US" w:eastAsia="zh-CN" w:bidi="ar"/>
        </w:rPr>
        <w:t>依申请公开情况。</w:t>
      </w:r>
      <w:r>
        <w:rPr>
          <w:rFonts w:hint="eastAsia" w:ascii="Times New Roman" w:hAnsi="Times New Roman" w:eastAsia="仿宋_GB2312" w:cs="仿宋_GB2312"/>
          <w:i w:val="0"/>
          <w:caps w:val="0"/>
          <w:color w:val="auto"/>
          <w:spacing w:val="0"/>
          <w:sz w:val="32"/>
          <w:szCs w:val="32"/>
          <w:lang w:val="en-US" w:eastAsia="zh-CN"/>
        </w:rPr>
        <w:t>我局依法依规推进依申请公开，促进依法行政。畅通受理渠道，规范答复意见，不断提升依申请公开办理质量。全年新收到政府信息公开申请5件，办结5件，结转下年办理0件。</w:t>
      </w:r>
    </w:p>
    <w:p>
      <w:pPr>
        <w:numPr>
          <w:ilvl w:val="0"/>
          <w:numId w:val="1"/>
        </w:numPr>
        <w:ind w:firstLine="614" w:firstLineChars="192"/>
        <w:rPr>
          <w:rFonts w:hint="eastAsia" w:ascii="Times New Roman" w:hAnsi="Times New Roman" w:eastAsia="仿宋_GB2312" w:cs="仿宋_GB2312"/>
          <w:b w:val="0"/>
          <w:bCs w:val="0"/>
          <w:i w:val="0"/>
          <w:caps w:val="0"/>
          <w:color w:val="auto"/>
          <w:spacing w:val="0"/>
          <w:kern w:val="2"/>
          <w:sz w:val="32"/>
          <w:szCs w:val="32"/>
          <w:lang w:val="en-US" w:eastAsia="zh-CN" w:bidi="ar-SA"/>
        </w:rPr>
      </w:pPr>
      <w:r>
        <w:rPr>
          <w:rFonts w:hint="eastAsia" w:ascii="楷体_GB2312" w:hAnsi="楷体_GB2312" w:eastAsia="楷体_GB2312" w:cs="楷体_GB2312"/>
          <w:b w:val="0"/>
          <w:bCs/>
          <w:color w:val="auto"/>
          <w:kern w:val="0"/>
          <w:sz w:val="32"/>
          <w:szCs w:val="32"/>
          <w:lang w:val="en-US" w:eastAsia="zh-CN" w:bidi="ar"/>
        </w:rPr>
        <w:t>政府信息管理情况。</w:t>
      </w:r>
      <w:r>
        <w:rPr>
          <w:rFonts w:hint="eastAsia" w:ascii="Times New Roman" w:hAnsi="Times New Roman" w:eastAsia="仿宋_GB2312" w:cs="仿宋_GB2312"/>
          <w:i w:val="0"/>
          <w:caps w:val="0"/>
          <w:color w:val="auto"/>
          <w:spacing w:val="0"/>
          <w:sz w:val="32"/>
          <w:szCs w:val="32"/>
          <w:lang w:val="en-US" w:eastAsia="zh-CN"/>
        </w:rPr>
        <w:t>建立政务信息监管、落实制度，安排专人负责信息公开工作，具体承办信息公开事项、维护和更新政府信息、编制信息公开指南、年度报告等，确保信息更新及时、发布规范。及时参加相关政务公开业务培训，提高政务公开工作水平，</w:t>
      </w:r>
      <w:r>
        <w:rPr>
          <w:rFonts w:hint="eastAsia" w:ascii="仿宋_GB2312" w:hAnsi="仿宋_GB2312" w:eastAsia="仿宋_GB2312" w:cs="仿宋_GB2312"/>
          <w:color w:val="auto"/>
          <w:sz w:val="32"/>
          <w:szCs w:val="32"/>
        </w:rPr>
        <w:t>我局</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年全年主动公开政府信息</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213</w:t>
      </w:r>
      <w:r>
        <w:rPr>
          <w:rFonts w:hint="eastAsia" w:ascii="仿宋_GB2312" w:hAnsi="仿宋_GB2312" w:eastAsia="仿宋_GB2312" w:cs="仿宋_GB2312"/>
          <w:color w:val="auto"/>
          <w:sz w:val="32"/>
          <w:szCs w:val="32"/>
        </w:rPr>
        <w:t>条</w:t>
      </w:r>
      <w:r>
        <w:rPr>
          <w:rFonts w:hint="eastAsia" w:ascii="Times New Roman" w:hAnsi="Times New Roman" w:eastAsia="仿宋_GB2312" w:cs="仿宋_GB2312"/>
          <w:i w:val="0"/>
          <w:caps w:val="0"/>
          <w:color w:val="auto"/>
          <w:spacing w:val="0"/>
          <w:sz w:val="32"/>
          <w:szCs w:val="32"/>
          <w:lang w:val="en-US" w:eastAsia="zh-CN"/>
        </w:rPr>
        <w:t>。</w:t>
      </w:r>
    </w:p>
    <w:p>
      <w:pPr>
        <w:numPr>
          <w:ilvl w:val="0"/>
          <w:numId w:val="1"/>
        </w:numPr>
        <w:ind w:firstLine="614" w:firstLineChars="192"/>
        <w:rPr>
          <w:rFonts w:hint="eastAsia" w:ascii="Times New Roman" w:hAnsi="Times New Roman" w:eastAsia="仿宋_GB2312" w:cs="仿宋_GB2312"/>
          <w:b w:val="0"/>
          <w:bCs w:val="0"/>
          <w:i w:val="0"/>
          <w:caps w:val="0"/>
          <w:color w:val="auto"/>
          <w:spacing w:val="0"/>
          <w:kern w:val="2"/>
          <w:sz w:val="32"/>
          <w:szCs w:val="32"/>
          <w:lang w:val="en-US" w:eastAsia="zh-CN" w:bidi="ar-SA"/>
        </w:rPr>
      </w:pPr>
      <w:r>
        <w:rPr>
          <w:rFonts w:hint="eastAsia" w:ascii="楷体_GB2312" w:hAnsi="楷体_GB2312" w:eastAsia="楷体_GB2312" w:cs="楷体_GB2312"/>
          <w:b w:val="0"/>
          <w:bCs w:val="0"/>
          <w:i w:val="0"/>
          <w:caps w:val="0"/>
          <w:color w:val="auto"/>
          <w:spacing w:val="0"/>
          <w:kern w:val="2"/>
          <w:sz w:val="32"/>
          <w:szCs w:val="32"/>
          <w:lang w:val="en-US" w:eastAsia="zh-CN" w:bidi="ar-SA"/>
        </w:rPr>
        <w:t>政务公开平台建设情况。</w:t>
      </w:r>
      <w:r>
        <w:rPr>
          <w:rFonts w:hint="eastAsia" w:ascii="Times New Roman" w:hAnsi="Times New Roman" w:eastAsia="仿宋_GB2312" w:cs="仿宋_GB2312"/>
          <w:i w:val="0"/>
          <w:caps w:val="0"/>
          <w:color w:val="auto"/>
          <w:spacing w:val="0"/>
          <w:sz w:val="32"/>
          <w:szCs w:val="32"/>
          <w:lang w:val="en-US" w:eastAsia="zh-CN"/>
        </w:rPr>
        <w:t>按照要求，</w:t>
      </w:r>
      <w:r>
        <w:rPr>
          <w:rFonts w:hint="eastAsia" w:ascii="Times New Roman" w:hAnsi="Times New Roman" w:eastAsia="仿宋_GB2312" w:cs="仿宋_GB2312"/>
          <w:i w:val="0"/>
          <w:caps w:val="0"/>
          <w:color w:val="auto"/>
          <w:spacing w:val="0"/>
          <w:sz w:val="32"/>
          <w:szCs w:val="32"/>
        </w:rPr>
        <w:t>根据《广州市黄埔区</w:t>
      </w:r>
      <w:r>
        <w:rPr>
          <w:rFonts w:hint="eastAsia" w:ascii="Times New Roman" w:hAnsi="Times New Roman" w:eastAsia="仿宋_GB2312" w:cs="仿宋_GB2312"/>
          <w:i w:val="0"/>
          <w:caps w:val="0"/>
          <w:color w:val="auto"/>
          <w:spacing w:val="0"/>
          <w:sz w:val="32"/>
          <w:szCs w:val="32"/>
          <w:lang w:eastAsia="zh-CN"/>
        </w:rPr>
        <w:t>文化广电旅游</w:t>
      </w:r>
      <w:r>
        <w:rPr>
          <w:rFonts w:hint="eastAsia" w:ascii="Times New Roman" w:hAnsi="Times New Roman" w:eastAsia="仿宋_GB2312" w:cs="仿宋_GB2312"/>
          <w:i w:val="0"/>
          <w:caps w:val="0"/>
          <w:color w:val="auto"/>
          <w:spacing w:val="0"/>
          <w:sz w:val="32"/>
          <w:szCs w:val="32"/>
        </w:rPr>
        <w:t>局主动公开基本目录》，不断优化栏目设置和信息加载</w:t>
      </w:r>
      <w:r>
        <w:rPr>
          <w:rFonts w:hint="eastAsia" w:ascii="Times New Roman" w:hAnsi="Times New Roman" w:eastAsia="仿宋_GB2312" w:cs="仿宋_GB2312"/>
          <w:i w:val="0"/>
          <w:caps w:val="0"/>
          <w:color w:val="auto"/>
          <w:spacing w:val="0"/>
          <w:sz w:val="32"/>
          <w:szCs w:val="32"/>
          <w:lang w:eastAsia="zh-CN"/>
        </w:rPr>
        <w:t>。及时发布《广州市黄埔区文化广电旅游局机构职能》《广州市黄埔区文化广电旅游局机构设置》《黄埔区文化广电旅游局关于领导班子分工及其他处级干部工作安排的通知》《联系方式》等信息</w:t>
      </w:r>
      <w:r>
        <w:rPr>
          <w:rFonts w:hint="eastAsia" w:ascii="Times New Roman" w:hAnsi="Times New Roman" w:eastAsia="仿宋_GB2312" w:cs="仿宋_GB2312"/>
          <w:i w:val="0"/>
          <w:caps w:val="0"/>
          <w:color w:val="auto"/>
          <w:spacing w:val="0"/>
          <w:sz w:val="32"/>
          <w:szCs w:val="32"/>
        </w:rPr>
        <w:t>，接受</w:t>
      </w:r>
      <w:r>
        <w:rPr>
          <w:rFonts w:hint="eastAsia" w:ascii="Times New Roman" w:hAnsi="Times New Roman" w:eastAsia="仿宋_GB2312" w:cs="仿宋_GB2312"/>
          <w:i w:val="0"/>
          <w:caps w:val="0"/>
          <w:color w:val="auto"/>
          <w:spacing w:val="0"/>
          <w:sz w:val="32"/>
          <w:szCs w:val="32"/>
          <w:lang w:eastAsia="zh-CN"/>
        </w:rPr>
        <w:t>社会</w:t>
      </w:r>
      <w:r>
        <w:rPr>
          <w:rFonts w:hint="eastAsia" w:ascii="Times New Roman" w:hAnsi="Times New Roman" w:eastAsia="仿宋_GB2312" w:cs="仿宋_GB2312"/>
          <w:i w:val="0"/>
          <w:caps w:val="0"/>
          <w:color w:val="auto"/>
          <w:spacing w:val="0"/>
          <w:sz w:val="32"/>
          <w:szCs w:val="32"/>
        </w:rPr>
        <w:t>监督</w:t>
      </w:r>
      <w:r>
        <w:rPr>
          <w:rFonts w:hint="eastAsia" w:ascii="Times New Roman" w:hAnsi="Times New Roman" w:eastAsia="仿宋_GB2312" w:cs="仿宋_GB2312"/>
          <w:i w:val="0"/>
          <w:caps w:val="0"/>
          <w:color w:val="auto"/>
          <w:spacing w:val="0"/>
          <w:sz w:val="32"/>
          <w:szCs w:val="32"/>
          <w:lang w:eastAsia="zh-CN"/>
        </w:rPr>
        <w:t>。</w:t>
      </w:r>
    </w:p>
    <w:p>
      <w:pPr>
        <w:numPr>
          <w:ilvl w:val="0"/>
          <w:numId w:val="1"/>
        </w:numPr>
        <w:ind w:firstLine="614" w:firstLineChars="192"/>
        <w:rPr>
          <w:rFonts w:hint="eastAsia" w:ascii="Times New Roman" w:hAnsi="Times New Roman" w:eastAsia="仿宋_GB2312" w:cs="仿宋_GB2312"/>
          <w:b w:val="0"/>
          <w:bCs w:val="0"/>
          <w:i w:val="0"/>
          <w:caps w:val="0"/>
          <w:color w:val="auto"/>
          <w:spacing w:val="0"/>
          <w:kern w:val="2"/>
          <w:sz w:val="32"/>
          <w:szCs w:val="32"/>
          <w:lang w:val="en-US" w:eastAsia="zh-CN" w:bidi="ar-SA"/>
        </w:rPr>
      </w:pPr>
      <w:r>
        <w:rPr>
          <w:rFonts w:hint="eastAsia" w:ascii="楷体_GB2312" w:hAnsi="楷体_GB2312" w:eastAsia="楷体_GB2312" w:cs="楷体_GB2312"/>
          <w:b w:val="0"/>
          <w:bCs w:val="0"/>
          <w:i w:val="0"/>
          <w:caps w:val="0"/>
          <w:color w:val="auto"/>
          <w:spacing w:val="0"/>
          <w:kern w:val="2"/>
          <w:sz w:val="32"/>
          <w:szCs w:val="32"/>
          <w:lang w:val="en-US" w:eastAsia="zh-CN" w:bidi="ar-SA"/>
        </w:rPr>
        <w:t>监督保障情况。</w:t>
      </w:r>
      <w:r>
        <w:rPr>
          <w:rFonts w:hint="eastAsia" w:ascii="Times New Roman" w:hAnsi="Times New Roman" w:eastAsia="仿宋_GB2312" w:cs="仿宋_GB2312"/>
          <w:b w:val="0"/>
          <w:bCs w:val="0"/>
          <w:i w:val="0"/>
          <w:caps w:val="0"/>
          <w:color w:val="auto"/>
          <w:spacing w:val="0"/>
          <w:kern w:val="2"/>
          <w:sz w:val="32"/>
          <w:szCs w:val="32"/>
          <w:lang w:val="en-US" w:eastAsia="zh-CN" w:bidi="ar-SA"/>
        </w:rPr>
        <w:t>我局坚持依法、公开、及时、便民的原则，通过政府门户网站公开相关信息，并对公开内容进行及时更新，确保信息的实效性。围绕工作职能，将文化市场行政审批、行政许可、行政处罚，公共文化服务等群众关心关注的热点难点问题作为信息公开重点内容，进一步扩大群众的知情权，增加工作透明度。</w:t>
      </w:r>
      <w:r>
        <w:rPr>
          <w:rFonts w:hint="eastAsia" w:ascii="Times New Roman" w:hAnsi="Times New Roman" w:eastAsia="仿宋_GB2312" w:cs="仿宋_GB2312"/>
          <w:i w:val="0"/>
          <w:caps w:val="0"/>
          <w:color w:val="auto"/>
          <w:spacing w:val="0"/>
          <w:sz w:val="32"/>
          <w:szCs w:val="32"/>
          <w:lang w:val="en-US" w:eastAsia="zh-CN"/>
        </w:rPr>
        <w:t>明确分管领导负责，确定局办公室为政务公开工作责任科室，实行专人专管制度。</w:t>
      </w:r>
    </w:p>
    <w:p>
      <w:pPr>
        <w:pStyle w:val="6"/>
        <w:widowControl/>
        <w:shd w:val="clear" w:color="auto" w:fill="FFFFFF"/>
        <w:spacing w:beforeAutospacing="0" w:afterAutospacing="0"/>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1"/>
                <w14:textFill>
                  <w14:solidFill>
                    <w14:schemeClr w14:val="tx1"/>
                  </w14:solidFill>
                </w14:textFill>
              </w:rPr>
              <w:t> </w:t>
            </w: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147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25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6"/>
        <w:widowControl/>
        <w:shd w:val="clear" w:color="auto" w:fill="FFFFFF"/>
        <w:spacing w:beforeAutospacing="0" w:afterAutospacing="0"/>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商业</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科研</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5</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3</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kern w:val="2"/>
                <w:sz w:val="28"/>
                <w:szCs w:val="22"/>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1</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（三）不予公开</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1</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（四）无法提供</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（五）不予处理</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（六）其他处理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5</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b/>
                <w:bCs/>
                <w:color w:val="000000" w:themeColor="text1"/>
                <w:sz w:val="28"/>
                <w:szCs w:val="24"/>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333333"/>
          <w:spacing w:val="0"/>
          <w:sz w:val="32"/>
          <w:szCs w:val="32"/>
        </w:rPr>
        <w:t>我局将</w:t>
      </w:r>
      <w:r>
        <w:rPr>
          <w:rFonts w:hint="eastAsia" w:ascii="仿宋_GB2312" w:hAnsi="仿宋_GB2312" w:eastAsia="仿宋_GB2312" w:cs="仿宋_GB2312"/>
          <w:sz w:val="32"/>
          <w:szCs w:val="32"/>
        </w:rPr>
        <w:t>进一步提高信息公开工作质量,按照区委、区政府的工作部署和要求，继续挖掘有深度的信息和专题调研信息，及时公开涉及民生的重点信息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333333"/>
          <w:spacing w:val="0"/>
          <w:sz w:val="32"/>
          <w:szCs w:val="32"/>
        </w:rPr>
        <w:t>一是加强学习培训。提高信息公开业务水平。积极组织工作人员参加信息公开工作业务培训，提高信息公开工作人员的业务水平。二是完善制度。建立局内日常工作信息即时汇总机制，建立健全信息考核制度，鼓励信息一稿多投，加强局网站、微信公众号政务公开的时效性、丰富性，打造成向外展示相关业务和工作成果的窗口。形成完善的工作制度体系，进一步明确责任，保障信息及时发布，以制度促规范，以规范促提高</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6"/>
        <w:widowControl/>
        <w:shd w:val="clear" w:color="auto" w:fill="FFFFFF"/>
        <w:spacing w:beforeAutospacing="0" w:afterAutospacing="0"/>
        <w:ind w:firstLine="640" w:firstLineChars="200"/>
        <w:jc w:val="both"/>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keepNext w:val="0"/>
        <w:keepLines w:val="0"/>
        <w:widowControl/>
        <w:suppressLineNumbers w:val="0"/>
        <w:ind w:firstLine="640" w:firstLineChars="200"/>
        <w:jc w:val="left"/>
        <w:rPr>
          <w:rFonts w:hint="eastAsia" w:ascii="Times New Roman" w:hAnsi="Times New Roman" w:eastAsia="仿宋_GB2312" w:cs="仿宋_GB2312"/>
          <w:i w:val="0"/>
          <w:caps w:val="0"/>
          <w:color w:val="auto"/>
          <w:spacing w:val="0"/>
          <w:sz w:val="32"/>
          <w:szCs w:val="32"/>
          <w:lang w:val="en-US" w:eastAsia="zh-CN"/>
        </w:rPr>
      </w:pPr>
      <w:r>
        <w:rPr>
          <w:rFonts w:hint="eastAsia" w:ascii="Times New Roman" w:hAnsi="Times New Roman" w:eastAsia="仿宋_GB2312" w:cs="仿宋_GB2312"/>
          <w:i w:val="0"/>
          <w:caps w:val="0"/>
          <w:color w:val="auto"/>
          <w:spacing w:val="0"/>
          <w:sz w:val="32"/>
          <w:szCs w:val="32"/>
          <w:lang w:val="en-US" w:eastAsia="zh-CN"/>
        </w:rPr>
        <w:t>2021年，我局在办理依申请公开工作中未收取费用。</w:t>
      </w:r>
    </w:p>
    <w:p>
      <w:pPr>
        <w:pStyle w:val="6"/>
        <w:widowControl/>
        <w:shd w:val="clear" w:color="auto" w:fill="FFFFFF"/>
        <w:spacing w:beforeAutospacing="0" w:afterAutospacing="0"/>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sectPr>
          <w:footerReference r:id="rId6" w:type="first"/>
          <w:headerReference r:id="rId3" w:type="default"/>
          <w:footerReference r:id="rId4" w:type="default"/>
          <w:footerReference r:id="rId5" w:type="even"/>
          <w:pgSz w:w="11906" w:h="16838"/>
          <w:pgMar w:top="2098" w:right="1531" w:bottom="1984" w:left="1531" w:header="851" w:footer="1587" w:gutter="0"/>
          <w:pgNumType w:fmt="decimal" w:start="1"/>
          <w:cols w:space="0" w:num="1"/>
          <w:titlePg/>
          <w:docGrid w:type="lines" w:linePitch="315" w:charSpace="0"/>
        </w:sectPr>
      </w:pPr>
      <w:r>
        <w:rPr>
          <w:rFonts w:hint="eastAsia" w:ascii="Times New Roman" w:hAnsi="Times New Roman" w:eastAsia="仿宋_GB2312" w:cs="仿宋_GB2312"/>
          <w:i w:val="0"/>
          <w:caps w:val="0"/>
          <w:color w:val="auto"/>
          <w:spacing w:val="0"/>
          <w:sz w:val="32"/>
          <w:szCs w:val="32"/>
          <w:lang w:val="en-US" w:eastAsia="zh-CN"/>
        </w:rPr>
        <w:t>如需了解更多信息，请登陆我局政府信息公开目录（网址：http://www.hp.gov.cn/gzhpwgl/gkmlpt/index）进行查看</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w:t>
      </w: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lang w:val="en-US" w:eastAsia="zh-CN"/>
        </w:rPr>
      </w:pPr>
    </w:p>
    <w:p>
      <w:pPr>
        <w:pStyle w:val="2"/>
        <w:ind w:left="0" w:leftChars="0"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广州市黄埔区文化广电旅游局</w:t>
      </w: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2022年1月13日</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ind w:firstLine="320" w:firstLineChars="100"/>
        <w:rPr>
          <w:rFonts w:hint="eastAsia"/>
          <w:lang w:val="en-US" w:eastAsia="zh-CN"/>
        </w:rPr>
      </w:pPr>
      <w:bookmarkStart w:id="0" w:name="_GoBack"/>
      <w:bookmarkEnd w:id="0"/>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主动公开</w:t>
      </w:r>
    </w:p>
    <w:sectPr>
      <w:footerReference r:id="rId9" w:type="first"/>
      <w:footerReference r:id="rId7" w:type="default"/>
      <w:footerReference r:id="rId8" w:type="even"/>
      <w:type w:val="continuous"/>
      <w:pgSz w:w="11906" w:h="16838"/>
      <w:pgMar w:top="2098" w:right="1474" w:bottom="1984" w:left="1587" w:header="851" w:footer="1587" w:gutter="0"/>
      <w:pgNumType w:fmt="decimal"/>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- 4 -</w:t>
                    </w:r>
                    <w:r>
                      <w:rPr>
                        <w:rFonts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35679"/>
    <w:multiLevelType w:val="singleLevel"/>
    <w:tmpl w:val="B8D356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71A42"/>
    <w:rsid w:val="07D02FBC"/>
    <w:rsid w:val="08181ADE"/>
    <w:rsid w:val="08C7218B"/>
    <w:rsid w:val="0B0A34E0"/>
    <w:rsid w:val="0C31782E"/>
    <w:rsid w:val="0EF4616C"/>
    <w:rsid w:val="0F3C6463"/>
    <w:rsid w:val="0FBD443F"/>
    <w:rsid w:val="105E7673"/>
    <w:rsid w:val="13F50CFC"/>
    <w:rsid w:val="14C60ED2"/>
    <w:rsid w:val="163858E1"/>
    <w:rsid w:val="164D703E"/>
    <w:rsid w:val="18A47572"/>
    <w:rsid w:val="19D057FD"/>
    <w:rsid w:val="1D7279E6"/>
    <w:rsid w:val="1D98473D"/>
    <w:rsid w:val="211F52A3"/>
    <w:rsid w:val="23B9616B"/>
    <w:rsid w:val="241A14D6"/>
    <w:rsid w:val="27B97070"/>
    <w:rsid w:val="306345CD"/>
    <w:rsid w:val="34FA5DF6"/>
    <w:rsid w:val="3B192C81"/>
    <w:rsid w:val="3B3F2855"/>
    <w:rsid w:val="3BA51E90"/>
    <w:rsid w:val="3D2864A9"/>
    <w:rsid w:val="453C795E"/>
    <w:rsid w:val="454B5BA1"/>
    <w:rsid w:val="47BF255B"/>
    <w:rsid w:val="4CCD3AD1"/>
    <w:rsid w:val="4D027DC5"/>
    <w:rsid w:val="57981262"/>
    <w:rsid w:val="597251E1"/>
    <w:rsid w:val="5A4F0158"/>
    <w:rsid w:val="5B455617"/>
    <w:rsid w:val="5BB76F5C"/>
    <w:rsid w:val="5D131F11"/>
    <w:rsid w:val="5F5521EA"/>
    <w:rsid w:val="60063239"/>
    <w:rsid w:val="61C5210E"/>
    <w:rsid w:val="64C20019"/>
    <w:rsid w:val="6754351C"/>
    <w:rsid w:val="691306A2"/>
    <w:rsid w:val="698571DF"/>
    <w:rsid w:val="6CD159E2"/>
    <w:rsid w:val="6E652000"/>
    <w:rsid w:val="6E9941B0"/>
    <w:rsid w:val="7246238A"/>
    <w:rsid w:val="73E54266"/>
    <w:rsid w:val="792B67F5"/>
    <w:rsid w:val="79F41313"/>
    <w:rsid w:val="7F0F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Default"/>
    <w:qFormat/>
    <w:uiPriority w:val="0"/>
    <w:pPr>
      <w:widowControl w:val="0"/>
      <w:autoSpaceDE w:val="0"/>
      <w:autoSpaceDN w:val="0"/>
      <w:adjustRightInd w:val="0"/>
    </w:pPr>
    <w:rPr>
      <w:rFonts w:ascii="华文仿宋`.." w:hAnsi="Calibri" w:eastAsia="华文仿宋`.."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何书艳</cp:lastModifiedBy>
  <dcterms:modified xsi:type="dcterms:W3CDTF">2022-01-14T10:47:44Z</dcterms:modified>
  <dc:title>政府信息公开工作年度报告格式模板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