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仿宋_GB2312" w:cs="Times New Roman"/>
          <w:sz w:val="44"/>
          <w:szCs w:val="44"/>
          <w:lang w:val="en-US" w:eastAsia="zh-CN"/>
        </w:rPr>
      </w:pPr>
      <w:bookmarkStart w:id="0" w:name="_GoBack"/>
      <w:r>
        <w:rPr>
          <w:rFonts w:hint="default" w:ascii="Times New Roman" w:hAnsi="Times New Roman" w:eastAsia="方正小标宋简体" w:cs="Times New Roman"/>
          <w:sz w:val="44"/>
          <w:szCs w:val="44"/>
        </w:rPr>
        <w:t>广州国际生物岛（中以合作区）管理委员会2021年政府信息公开工作年度报告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i w:val="0"/>
          <w:caps w:val="0"/>
          <w:color w:val="000000"/>
          <w:spacing w:val="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lang w:eastAsia="zh-CN"/>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19"/>
          <w:shd w:val="clear" w:color="auto" w:fill="FFFFFF"/>
        </w:rPr>
      </w:pPr>
      <w:r>
        <w:rPr>
          <w:rFonts w:hint="default" w:ascii="Times New Roman" w:hAnsi="Times New Roman" w:cs="Times New Roman"/>
          <w:color w:val="000000"/>
          <w:kern w:val="0"/>
          <w:sz w:val="32"/>
          <w:szCs w:val="32"/>
          <w:lang w:eastAsia="zh-CN"/>
        </w:rPr>
        <w:t>2021年，我委以习近平新时代中国特色社会主义思想为指导，认真落实党中央、国务院关于政务公开工作的决策部署和省委、省政府以及区委、区政府的有关工作要求，贯彻落实《中华人民共和国政府信息公开条例》，不断完善信息公开制度，推进政府信息公开工作科学、高效发展</w:t>
      </w:r>
      <w:r>
        <w:rPr>
          <w:rFonts w:hint="default" w:ascii="Times New Roman" w:hAnsi="Times New Roman" w:eastAsia="仿宋_GB2312" w:cs="Times New Roman"/>
          <w:color w:val="000000"/>
          <w:sz w:val="32"/>
          <w:szCs w:val="19"/>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 w:cs="Times New Roman"/>
          <w:color w:val="000000"/>
          <w:kern w:val="0"/>
          <w:sz w:val="32"/>
          <w:szCs w:val="32"/>
          <w:lang w:eastAsia="zh-CN"/>
        </w:rPr>
      </w:pPr>
      <w:r>
        <w:rPr>
          <w:rFonts w:hint="default" w:ascii="Times New Roman" w:hAnsi="Times New Roman" w:eastAsia="楷体" w:cs="Times New Roman"/>
          <w:color w:val="000000"/>
          <w:kern w:val="0"/>
          <w:sz w:val="32"/>
          <w:szCs w:val="32"/>
          <w:lang w:eastAsia="zh-CN"/>
        </w:rPr>
        <w:t>（</w:t>
      </w:r>
      <w:r>
        <w:rPr>
          <w:rFonts w:hint="default" w:ascii="Times New Roman" w:hAnsi="Times New Roman" w:eastAsia="楷体" w:cs="Times New Roman"/>
          <w:color w:val="000000"/>
          <w:kern w:val="0"/>
          <w:sz w:val="32"/>
          <w:szCs w:val="32"/>
          <w:lang w:val="en-US" w:eastAsia="zh-CN"/>
        </w:rPr>
        <w:t>一</w:t>
      </w:r>
      <w:r>
        <w:rPr>
          <w:rFonts w:hint="default" w:ascii="Times New Roman" w:hAnsi="Times New Roman" w:eastAsia="楷体" w:cs="Times New Roman"/>
          <w:color w:val="000000"/>
          <w:kern w:val="0"/>
          <w:sz w:val="32"/>
          <w:szCs w:val="32"/>
          <w:lang w:eastAsia="zh-CN"/>
        </w:rPr>
        <w:t>）主动公开情况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372745</wp:posOffset>
            </wp:positionH>
            <wp:positionV relativeFrom="paragraph">
              <wp:posOffset>2265680</wp:posOffset>
            </wp:positionV>
            <wp:extent cx="4572000" cy="2743200"/>
            <wp:effectExtent l="4445" t="4445" r="14605" b="14605"/>
            <wp:wrapNone/>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default" w:ascii="Times New Roman" w:hAnsi="Times New Roman" w:cs="Times New Roman"/>
          <w:color w:val="000000"/>
          <w:kern w:val="0"/>
          <w:sz w:val="32"/>
          <w:szCs w:val="32"/>
          <w:lang w:eastAsia="zh-CN"/>
        </w:rPr>
        <w:t>坚持“公开为原则，不公开为例外”的原则，落实政务信息公开制度，深入推进政务公开工作。</w:t>
      </w:r>
      <w:r>
        <w:rPr>
          <w:rFonts w:hint="default" w:ascii="Times New Roman" w:hAnsi="Times New Roman" w:cs="Times New Roman"/>
          <w:color w:val="000000"/>
          <w:kern w:val="0"/>
          <w:sz w:val="32"/>
          <w:szCs w:val="32"/>
          <w:lang w:val="en-US" w:eastAsia="zh-CN"/>
        </w:rPr>
        <w:t>2021年，</w:t>
      </w:r>
      <w:r>
        <w:rPr>
          <w:rFonts w:hint="default" w:ascii="Times New Roman" w:hAnsi="Times New Roman" w:cs="Times New Roman"/>
          <w:color w:val="000000"/>
          <w:kern w:val="0"/>
          <w:sz w:val="32"/>
          <w:szCs w:val="32"/>
          <w:lang w:eastAsia="zh-CN"/>
        </w:rPr>
        <w:t>我委主动公开政府信息共</w:t>
      </w:r>
      <w:r>
        <w:rPr>
          <w:rFonts w:hint="default" w:ascii="Times New Roman" w:hAnsi="Times New Roman" w:cs="Times New Roman"/>
          <w:color w:val="000000"/>
          <w:kern w:val="0"/>
          <w:sz w:val="32"/>
          <w:szCs w:val="32"/>
          <w:lang w:val="en-US" w:eastAsia="zh-CN"/>
        </w:rPr>
        <w:t>93</w:t>
      </w:r>
      <w:r>
        <w:rPr>
          <w:rFonts w:hint="default" w:ascii="Times New Roman" w:hAnsi="Times New Roman" w:cs="Times New Roman"/>
          <w:color w:val="000000"/>
          <w:kern w:val="0"/>
          <w:sz w:val="32"/>
          <w:szCs w:val="32"/>
          <w:lang w:eastAsia="zh-CN"/>
        </w:rPr>
        <w:t>条，其中：</w:t>
      </w:r>
      <w:r>
        <w:rPr>
          <w:rFonts w:hint="default" w:ascii="Times New Roman" w:hAnsi="Times New Roman" w:cs="Times New Roman"/>
          <w:color w:val="000000"/>
          <w:kern w:val="0"/>
          <w:sz w:val="32"/>
          <w:szCs w:val="32"/>
          <w:lang w:val="en-US" w:eastAsia="zh-CN"/>
        </w:rPr>
        <w:t>组织机构信息5条，部门文件信息6条，工作动态信息41条，办事指南类信息1条，财政预决算信息3条，通知公告信息4条，招标投标信息31条，民意征集信息1条，征集结果信息1条</w:t>
      </w:r>
      <w:r>
        <w:rPr>
          <w:rFonts w:hint="default" w:ascii="Times New Roman" w:hAnsi="Times New Roman" w:cs="Times New Roman"/>
          <w:color w:val="000000"/>
          <w:kern w:val="0"/>
          <w:sz w:val="32"/>
          <w:szCs w:val="32"/>
          <w:lang w:val="en-US" w:eastAsia="zh-CN"/>
        </w:rPr>
        <w:t>。</w:t>
      </w:r>
    </w:p>
    <w:p>
      <w:pPr>
        <w:rPr>
          <w:rFonts w:hint="default" w:ascii="Times New Roman" w:hAnsi="Times New Roman" w:cs="Times New Roman"/>
          <w:color w:val="000000"/>
          <w:kern w:val="0"/>
          <w:sz w:val="32"/>
          <w:szCs w:val="32"/>
          <w:lang w:eastAsia="zh-CN"/>
        </w:rPr>
      </w:pPr>
    </w:p>
    <w:p>
      <w:pPr>
        <w:pStyle w:val="2"/>
        <w:rPr>
          <w:rFonts w:hint="default" w:ascii="Times New Roman" w:hAnsi="Times New Roman" w:cs="Times New Roman"/>
          <w:color w:val="000000"/>
          <w:kern w:val="0"/>
          <w:sz w:val="32"/>
          <w:szCs w:val="32"/>
          <w:lang w:eastAsia="zh-CN"/>
        </w:rPr>
      </w:pPr>
    </w:p>
    <w:p>
      <w:pPr>
        <w:rPr>
          <w:rFonts w:hint="default" w:ascii="Times New Roman" w:hAnsi="Times New Roman" w:cs="Times New Roman"/>
          <w:color w:val="000000"/>
          <w:kern w:val="0"/>
          <w:sz w:val="32"/>
          <w:szCs w:val="32"/>
          <w:lang w:eastAsia="zh-CN"/>
        </w:rPr>
      </w:pPr>
    </w:p>
    <w:p>
      <w:pPr>
        <w:pStyle w:val="2"/>
        <w:rPr>
          <w:rFonts w:hint="default" w:ascii="Times New Roman" w:hAnsi="Times New Roman" w:cs="Times New Roman"/>
          <w:color w:val="000000"/>
          <w:kern w:val="0"/>
          <w:sz w:val="32"/>
          <w:szCs w:val="32"/>
          <w:lang w:eastAsia="zh-CN"/>
        </w:rPr>
      </w:pPr>
    </w:p>
    <w:p>
      <w:pPr>
        <w:rPr>
          <w:rFonts w:hint="default" w:ascii="Times New Roman" w:hAnsi="Times New Roman" w:cs="Times New Roman"/>
          <w:color w:val="000000"/>
          <w:kern w:val="0"/>
          <w:sz w:val="32"/>
          <w:szCs w:val="32"/>
          <w:lang w:eastAsia="zh-CN"/>
        </w:rPr>
      </w:pPr>
    </w:p>
    <w:p>
      <w:pPr>
        <w:pStyle w:val="2"/>
        <w:rPr>
          <w:rFonts w:hint="default" w:ascii="Times New Roman" w:hAnsi="Times New Roman" w:cs="Times New Roman"/>
          <w:color w:val="000000"/>
          <w:kern w:val="0"/>
          <w:sz w:val="32"/>
          <w:szCs w:val="32"/>
          <w:lang w:eastAsia="zh-CN"/>
        </w:rPr>
      </w:pPr>
    </w:p>
    <w:p>
      <w:pPr>
        <w:pStyle w:val="2"/>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eastAsia="楷体" w:cs="Times New Roman"/>
          <w:color w:val="000000"/>
          <w:kern w:val="0"/>
          <w:sz w:val="32"/>
          <w:szCs w:val="32"/>
          <w:lang w:eastAsia="zh-CN"/>
        </w:rPr>
      </w:pPr>
      <w:r>
        <w:rPr>
          <w:rFonts w:hint="default" w:ascii="Times New Roman" w:hAnsi="Times New Roman" w:eastAsia="楷体" w:cs="Times New Roman"/>
          <w:color w:val="000000"/>
          <w:kern w:val="0"/>
          <w:sz w:val="32"/>
          <w:szCs w:val="32"/>
          <w:lang w:eastAsia="zh-CN"/>
        </w:rPr>
        <w:t>（</w:t>
      </w:r>
      <w:r>
        <w:rPr>
          <w:rFonts w:hint="default" w:ascii="Times New Roman" w:hAnsi="Times New Roman" w:eastAsia="楷体" w:cs="Times New Roman"/>
          <w:color w:val="000000"/>
          <w:kern w:val="0"/>
          <w:sz w:val="32"/>
          <w:szCs w:val="32"/>
          <w:lang w:val="en-US" w:eastAsia="zh-CN"/>
        </w:rPr>
        <w:t>二</w:t>
      </w:r>
      <w:r>
        <w:rPr>
          <w:rFonts w:hint="default" w:ascii="Times New Roman" w:hAnsi="Times New Roman" w:eastAsia="楷体" w:cs="Times New Roman"/>
          <w:color w:val="000000"/>
          <w:kern w:val="0"/>
          <w:sz w:val="32"/>
          <w:szCs w:val="32"/>
          <w:lang w:eastAsia="zh-CN"/>
        </w:rPr>
        <w:t>）依申请公开情况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cs="Times New Roman"/>
          <w:color w:val="000000"/>
          <w:kern w:val="0"/>
          <w:sz w:val="32"/>
          <w:szCs w:val="32"/>
          <w:lang w:eastAsia="zh-CN"/>
        </w:rPr>
      </w:pPr>
      <w:r>
        <w:rPr>
          <w:rFonts w:hint="default" w:ascii="Times New Roman" w:hAnsi="Times New Roman" w:cs="Times New Roman"/>
          <w:color w:val="000000"/>
          <w:kern w:val="0"/>
          <w:sz w:val="32"/>
          <w:szCs w:val="32"/>
          <w:lang w:eastAsia="zh-CN"/>
        </w:rPr>
        <w:t>2021年，本单位共收到依申请公开</w:t>
      </w:r>
      <w:r>
        <w:rPr>
          <w:rFonts w:hint="default" w:ascii="Times New Roman" w:hAnsi="Times New Roman" w:cs="Times New Roman"/>
          <w:color w:val="000000"/>
          <w:kern w:val="0"/>
          <w:sz w:val="32"/>
          <w:szCs w:val="32"/>
          <w:lang w:val="en-US" w:eastAsia="zh-CN"/>
        </w:rPr>
        <w:t>2</w:t>
      </w:r>
      <w:r>
        <w:rPr>
          <w:rFonts w:hint="default" w:ascii="Times New Roman" w:hAnsi="Times New Roman" w:cs="Times New Roman"/>
          <w:color w:val="000000"/>
          <w:kern w:val="0"/>
          <w:sz w:val="32"/>
          <w:szCs w:val="32"/>
          <w:lang w:eastAsia="zh-CN"/>
        </w:rPr>
        <w:t>件，全部按时办结，未发生因政府信息公开工作引发举报、投诉、提起行政诉讼等情况，无收取任何与政府信息公开有关的费用等情况。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eastAsia="楷体" w:cs="Times New Roman"/>
          <w:color w:val="000000"/>
          <w:kern w:val="0"/>
          <w:sz w:val="32"/>
          <w:szCs w:val="32"/>
          <w:lang w:eastAsia="zh-CN"/>
        </w:rPr>
      </w:pPr>
      <w:r>
        <w:rPr>
          <w:rFonts w:hint="default" w:ascii="Times New Roman" w:hAnsi="Times New Roman" w:eastAsia="楷体" w:cs="Times New Roman"/>
          <w:color w:val="000000"/>
          <w:kern w:val="0"/>
          <w:sz w:val="32"/>
          <w:szCs w:val="32"/>
          <w:lang w:eastAsia="zh-CN"/>
        </w:rPr>
        <w:t>（</w:t>
      </w:r>
      <w:r>
        <w:rPr>
          <w:rFonts w:hint="default" w:ascii="Times New Roman" w:hAnsi="Times New Roman" w:eastAsia="楷体" w:cs="Times New Roman"/>
          <w:color w:val="000000"/>
          <w:kern w:val="0"/>
          <w:sz w:val="32"/>
          <w:szCs w:val="32"/>
          <w:lang w:val="en-US" w:eastAsia="zh-CN"/>
        </w:rPr>
        <w:t>三</w:t>
      </w:r>
      <w:r>
        <w:rPr>
          <w:rFonts w:hint="default" w:ascii="Times New Roman" w:hAnsi="Times New Roman" w:eastAsia="楷体" w:cs="Times New Roman"/>
          <w:color w:val="000000"/>
          <w:kern w:val="0"/>
          <w:sz w:val="32"/>
          <w:szCs w:val="32"/>
          <w:lang w:eastAsia="zh-CN"/>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cs="Times New Roman"/>
          <w:color w:val="000000"/>
          <w:kern w:val="0"/>
          <w:sz w:val="32"/>
          <w:szCs w:val="32"/>
          <w:lang w:eastAsia="zh-CN"/>
        </w:rPr>
      </w:pPr>
      <w:r>
        <w:rPr>
          <w:rFonts w:hint="default" w:ascii="Times New Roman" w:hAnsi="Times New Roman" w:cs="Times New Roman"/>
          <w:color w:val="000000"/>
          <w:kern w:val="0"/>
          <w:sz w:val="32"/>
          <w:szCs w:val="32"/>
          <w:lang w:eastAsia="zh-CN"/>
        </w:rPr>
        <w:t>我委严格贯彻落实《中华人民共和国保守国家秘密法》《中华人民共和国政府信息公开条例》等规定，严格落实意识形态工作责任制，加强内容建设和信息发布审核，把好政治关、政策关、文字关，完善政府信息公开审查制度，严格执行“三审三校”流程</w:t>
      </w:r>
      <w:r>
        <w:rPr>
          <w:rFonts w:hint="default" w:ascii="Times New Roman" w:hAnsi="Times New Roman" w:eastAsia="宋体" w:cs="Times New Roman"/>
          <w:i w:val="0"/>
          <w:iCs w:val="0"/>
          <w:caps w:val="0"/>
          <w:color w:val="424242"/>
          <w:spacing w:val="0"/>
          <w:sz w:val="25"/>
          <w:szCs w:val="25"/>
          <w:shd w:val="clear" w:color="auto" w:fill="FFFFFF"/>
          <w:lang w:eastAsia="zh-CN"/>
        </w:rPr>
        <w:t>，</w:t>
      </w:r>
      <w:r>
        <w:rPr>
          <w:rFonts w:hint="default" w:ascii="Times New Roman" w:hAnsi="Times New Roman" w:cs="Times New Roman"/>
          <w:color w:val="000000"/>
          <w:kern w:val="0"/>
          <w:sz w:val="32"/>
          <w:szCs w:val="32"/>
          <w:lang w:eastAsia="zh-CN"/>
        </w:rPr>
        <w:t>从源头上保障公开信息不涉密、涉密信息不公开。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eastAsia="楷体" w:cs="Times New Roman"/>
          <w:color w:val="000000"/>
          <w:kern w:val="0"/>
          <w:sz w:val="32"/>
          <w:szCs w:val="32"/>
          <w:lang w:eastAsia="zh-CN"/>
        </w:rPr>
      </w:pPr>
      <w:r>
        <w:rPr>
          <w:rFonts w:hint="default" w:ascii="Times New Roman" w:hAnsi="Times New Roman" w:eastAsia="楷体" w:cs="Times New Roman"/>
          <w:color w:val="000000"/>
          <w:kern w:val="0"/>
          <w:sz w:val="32"/>
          <w:szCs w:val="32"/>
          <w:lang w:eastAsia="zh-CN"/>
        </w:rPr>
        <w:t>（</w:t>
      </w:r>
      <w:r>
        <w:rPr>
          <w:rFonts w:hint="default" w:ascii="Times New Roman" w:hAnsi="Times New Roman" w:eastAsia="楷体" w:cs="Times New Roman"/>
          <w:color w:val="000000"/>
          <w:kern w:val="0"/>
          <w:sz w:val="32"/>
          <w:szCs w:val="32"/>
          <w:lang w:val="en-US" w:eastAsia="zh-CN"/>
        </w:rPr>
        <w:t>四</w:t>
      </w:r>
      <w:r>
        <w:rPr>
          <w:rFonts w:hint="default" w:ascii="Times New Roman" w:hAnsi="Times New Roman" w:eastAsia="楷体" w:cs="Times New Roman"/>
          <w:color w:val="000000"/>
          <w:kern w:val="0"/>
          <w:sz w:val="32"/>
          <w:szCs w:val="32"/>
          <w:lang w:eastAsia="zh-CN"/>
        </w:rPr>
        <w:t>）平台建设情况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cs="Times New Roman"/>
          <w:color w:val="000000"/>
          <w:kern w:val="0"/>
          <w:sz w:val="32"/>
          <w:szCs w:val="32"/>
          <w:lang w:eastAsia="zh-CN"/>
        </w:rPr>
      </w:pPr>
      <w:r>
        <w:rPr>
          <w:rFonts w:hint="default" w:ascii="Times New Roman" w:hAnsi="Times New Roman" w:cs="Times New Roman"/>
          <w:color w:val="000000"/>
          <w:kern w:val="0"/>
          <w:sz w:val="32"/>
          <w:szCs w:val="32"/>
          <w:lang w:eastAsia="zh-CN"/>
        </w:rPr>
        <w:t>进一步发挥政务新媒体的作用，用好“广州国际生物岛”微信公众号宣传平台，加强内容创新，高质量打造“企业高管面对面交流沙龙”“十分到位”企业服务专栏、“十周年”科学家及企业高管人物专访系列，“打卡生物岛高科技”“医药资讯速览”等专栏，全年共发布稿件165篇，阅读量近37万，新增粉丝4万多个，有力扩大生物岛的影响力。</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eastAsia="楷体" w:cs="Times New Roman"/>
          <w:color w:val="000000"/>
          <w:kern w:val="0"/>
          <w:sz w:val="32"/>
          <w:szCs w:val="32"/>
          <w:lang w:eastAsia="zh-CN"/>
        </w:rPr>
      </w:pPr>
      <w:r>
        <w:rPr>
          <w:rFonts w:hint="default" w:ascii="Times New Roman" w:hAnsi="Times New Roman" w:eastAsia="楷体" w:cs="Times New Roman"/>
          <w:color w:val="000000"/>
          <w:kern w:val="0"/>
          <w:sz w:val="32"/>
          <w:szCs w:val="32"/>
          <w:lang w:eastAsia="zh-CN"/>
        </w:rPr>
        <w:t>（</w:t>
      </w:r>
      <w:r>
        <w:rPr>
          <w:rFonts w:hint="default" w:ascii="Times New Roman" w:hAnsi="Times New Roman" w:eastAsia="楷体" w:cs="Times New Roman"/>
          <w:color w:val="000000"/>
          <w:kern w:val="0"/>
          <w:sz w:val="32"/>
          <w:szCs w:val="32"/>
          <w:lang w:val="en-US" w:eastAsia="zh-CN"/>
        </w:rPr>
        <w:t>五</w:t>
      </w:r>
      <w:r>
        <w:rPr>
          <w:rFonts w:hint="default" w:ascii="Times New Roman" w:hAnsi="Times New Roman" w:eastAsia="楷体" w:cs="Times New Roman"/>
          <w:color w:val="000000"/>
          <w:kern w:val="0"/>
          <w:sz w:val="32"/>
          <w:szCs w:val="32"/>
          <w:lang w:eastAsia="zh-CN"/>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600" w:lineRule="exact"/>
        <w:ind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cs="Times New Roman"/>
          <w:color w:val="000000"/>
          <w:kern w:val="0"/>
          <w:sz w:val="32"/>
          <w:szCs w:val="32"/>
          <w:lang w:eastAsia="zh-CN"/>
        </w:rPr>
        <w:t>一是将政务信息公开工作纳入年度绩效考核，做好任务分解，确保责任到人；二是接受区政务公开办的日常监督和考核，组织本单位人员积极参加政务公开工作培训，学习业务知识，进一步提升政府信息公开工作的办理水平；三是按照本年度政务公开工作要点要求，将本年度政务公开工作要点落实情况纳入政府信息公开工作年度报告予以公开，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黑体" w:cs="Times New Roman"/>
          <w:i w:val="0"/>
          <w:caps w:val="0"/>
          <w:color w:val="000000"/>
          <w:spacing w:val="0"/>
          <w:sz w:val="32"/>
          <w:szCs w:val="32"/>
          <w:shd w:val="clear" w:color="auto" w:fill="FFFFFF"/>
        </w:rPr>
      </w:pPr>
      <w:r>
        <w:rPr>
          <w:rFonts w:hint="default" w:ascii="Times New Roman" w:hAnsi="Times New Roman" w:eastAsia="黑体" w:cs="Times New Roman"/>
          <w:i w:val="0"/>
          <w:caps w:val="0"/>
          <w:color w:val="000000"/>
          <w:spacing w:val="0"/>
          <w:sz w:val="32"/>
          <w:szCs w:val="32"/>
          <w:shd w:val="clear" w:color="auto" w:fill="FFFFFF"/>
        </w:rPr>
        <w:t>二、主动公开政府信息情况</w:t>
      </w:r>
    </w:p>
    <w:tbl>
      <w:tblPr>
        <w:tblStyle w:val="3"/>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1"/>
              </w:rPr>
              <w:t> </w:t>
            </w:r>
            <w:r>
              <w:rPr>
                <w:rFonts w:hint="default" w:ascii="Times New Roman" w:hAnsi="Times New Roman" w:eastAsia="宋体" w:cs="Times New Roman"/>
                <w:color w:val="000000"/>
                <w:kern w:val="0"/>
                <w:sz w:val="24"/>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1"/>
              </w:rPr>
              <w:t> </w:t>
            </w:r>
            <w:r>
              <w:rPr>
                <w:rFonts w:hint="default" w:ascii="Times New Roman" w:hAnsi="Times New Roman" w:eastAsia="宋体" w:cs="Times New Roman"/>
                <w:color w:val="000000"/>
                <w:kern w:val="0"/>
                <w:sz w:val="24"/>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黑体" w:cs="Times New Roman"/>
          <w:i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黑体" w:cs="Times New Roman"/>
          <w:i w:val="0"/>
          <w:caps w:val="0"/>
          <w:color w:val="000000"/>
          <w:spacing w:val="0"/>
          <w:sz w:val="32"/>
          <w:szCs w:val="32"/>
          <w:shd w:val="clear" w:color="auto" w:fill="FFFFFF"/>
        </w:rPr>
      </w:pPr>
      <w:r>
        <w:rPr>
          <w:rFonts w:hint="default" w:ascii="Times New Roman" w:hAnsi="Times New Roman" w:eastAsia="黑体" w:cs="Times New Roman"/>
          <w:i w:val="0"/>
          <w:caps w:val="0"/>
          <w:color w:val="000000"/>
          <w:spacing w:val="0"/>
          <w:sz w:val="32"/>
          <w:szCs w:val="32"/>
          <w:shd w:val="clear" w:color="auto" w:fill="FFFFFF"/>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689"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自然人</w:t>
            </w:r>
          </w:p>
        </w:tc>
        <w:tc>
          <w:tcPr>
            <w:tcW w:w="344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689"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商业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企业</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科研</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社会公益组织</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法律服务机构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一、本年新收政府信息公开申请数量</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2</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二、上年结转政府信息公开申请数量</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三、本年度办理结果</w:t>
            </w:r>
          </w:p>
        </w:tc>
        <w:tc>
          <w:tcPr>
            <w:tcW w:w="415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（一）予以公开</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2</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415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（二）部分公开（区分处理的，只计这一情形，不计其他情形）</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（三）不予公开</w:t>
            </w: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1.属于国家秘密</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2.其他法律行政法规禁止公开</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3.危及“三安全一稳定”</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4.保护第三方合法权益</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5.属于三类内部事务信息</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6.属于四类过程性信息</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7.属于行政执法案卷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8.属于行政查询事项</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（四）无法提供</w:t>
            </w: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1.本机关不掌握相关政府信息</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2.没有现成信息需要另行制作</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3.补正后申请内容仍不明确</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（五）不予处理</w:t>
            </w: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1.信访举报投诉类申请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2.重复申请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3.要求提供公开出版物</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4.无正当理由大量反复申请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5.要求行政机关确认或重新出具已获取信息</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（六）其他处理</w:t>
            </w:r>
          </w:p>
        </w:tc>
        <w:tc>
          <w:tcPr>
            <w:tcW w:w="31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1.申请人无正当理由逾期不补正、行政机关不再处理其政府信息公开申请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319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3.其他</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8"/>
                <w:szCs w:val="24"/>
              </w:rPr>
            </w:pPr>
          </w:p>
        </w:tc>
        <w:tc>
          <w:tcPr>
            <w:tcW w:w="415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（七）总计</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2</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rPr>
              <w:t>四、结转下年度继续办理</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lang w:val="en-US" w:eastAsia="zh-CN"/>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rPr>
            </w:pPr>
            <w:r>
              <w:rPr>
                <w:rFonts w:hint="default" w:ascii="Times New Roman" w:hAnsi="Times New Roman" w:eastAsia="宋体" w:cs="Times New Roman"/>
                <w:color w:val="000000"/>
                <w:kern w:val="0"/>
                <w:sz w:val="28"/>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8"/>
                <w:szCs w:val="24"/>
                <w:lang w:val="en-US" w:eastAsia="zh-CN"/>
              </w:rPr>
            </w:pPr>
            <w:r>
              <w:rPr>
                <w:rFonts w:hint="default" w:ascii="Times New Roman" w:hAnsi="Times New Roman" w:eastAsia="宋体" w:cs="Times New Roman"/>
                <w:color w:val="000000"/>
                <w:sz w:val="28"/>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黑体" w:cs="Times New Roman"/>
          <w:i w:val="0"/>
          <w:caps w:val="0"/>
          <w:color w:val="000000"/>
          <w:spacing w:val="0"/>
          <w:sz w:val="32"/>
          <w:szCs w:val="32"/>
          <w:shd w:val="clear" w:color="auto" w:fill="FFFFFF"/>
        </w:rPr>
      </w:pPr>
      <w:r>
        <w:rPr>
          <w:rFonts w:hint="default" w:ascii="Times New Roman" w:hAnsi="Times New Roman" w:eastAsia="黑体" w:cs="Times New Roman"/>
          <w:i w:val="0"/>
          <w:caps w:val="0"/>
          <w:color w:val="000000"/>
          <w:spacing w:val="0"/>
          <w:sz w:val="32"/>
          <w:szCs w:val="32"/>
          <w:shd w:val="clear" w:color="auto" w:fill="FFFFFF"/>
        </w:rPr>
        <w:t>四、政府信息公开行政复议、行政诉讼情况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结果</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其他</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尚未</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结果</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结果</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其他</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尚未</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结果</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结果</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其他</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尚未</w:t>
            </w:r>
            <w:r>
              <w:rPr>
                <w:rFonts w:hint="default" w:ascii="Times New Roman" w:hAnsi="Times New Roman" w:eastAsia="宋体" w:cs="Times New Roman"/>
                <w:color w:val="000000"/>
                <w:kern w:val="0"/>
                <w:sz w:val="24"/>
                <w:szCs w:val="20"/>
              </w:rPr>
              <w:br w:type="textWrapping"/>
            </w:r>
            <w:r>
              <w:rPr>
                <w:rFonts w:hint="default" w:ascii="Times New Roman" w:hAnsi="Times New Roman" w:eastAsia="宋体" w:cs="Times New Roman"/>
                <w:color w:val="000000"/>
                <w:kern w:val="0"/>
                <w:sz w:val="24"/>
                <w:szCs w:val="20"/>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lang w:val="en-US" w:eastAsia="zh-CN"/>
              </w:rPr>
              <w:t>0</w:t>
            </w:r>
            <w:r>
              <w:rPr>
                <w:rFonts w:hint="default" w:ascii="Times New Roman" w:hAnsi="Times New Roman" w:eastAsia="宋体" w:cs="Times New Roman"/>
                <w:color w:val="000000"/>
                <w:kern w:val="0"/>
                <w:sz w:val="24"/>
                <w:szCs w:val="20"/>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lang w:val="en-US" w:eastAsia="zh-CN"/>
              </w:rPr>
              <w:t>0</w:t>
            </w:r>
            <w:r>
              <w:rPr>
                <w:rFonts w:hint="default" w:ascii="Times New Roman" w:hAnsi="Times New Roman" w:eastAsia="宋体" w:cs="Times New Roman"/>
                <w:color w:val="000000"/>
                <w:kern w:val="0"/>
                <w:sz w:val="24"/>
                <w:szCs w:val="20"/>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lang w:val="en-US" w:eastAsia="zh-CN"/>
              </w:rPr>
              <w:t>0</w:t>
            </w:r>
            <w:r>
              <w:rPr>
                <w:rFonts w:hint="default" w:ascii="Times New Roman" w:hAnsi="Times New Roman" w:eastAsia="宋体" w:cs="Times New Roman"/>
                <w:color w:val="000000"/>
                <w:kern w:val="0"/>
                <w:sz w:val="24"/>
                <w:szCs w:val="20"/>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lang w:val="en-US" w:eastAsia="zh-CN"/>
              </w:rPr>
              <w:t>0</w:t>
            </w:r>
            <w:r>
              <w:rPr>
                <w:rFonts w:hint="default" w:ascii="Times New Roman" w:hAnsi="Times New Roman" w:eastAsia="宋体" w:cs="Times New Roman"/>
                <w:color w:val="000000"/>
                <w:kern w:val="0"/>
                <w:sz w:val="24"/>
                <w:szCs w:val="20"/>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kern w:val="0"/>
                <w:sz w:val="24"/>
                <w:szCs w:val="20"/>
              </w:rPr>
              <w:t> </w:t>
            </w:r>
            <w:r>
              <w:rPr>
                <w:rFonts w:hint="default" w:ascii="Times New Roman" w:hAnsi="Times New Roman" w:eastAsia="宋体" w:cs="Times New Roman"/>
                <w:color w:val="000000"/>
                <w:kern w:val="0"/>
                <w:sz w:val="24"/>
                <w:szCs w:val="20"/>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szCs w:val="20"/>
                <w:lang w:val="en-US" w:eastAsia="zh-CN"/>
              </w:rPr>
              <w:t>0</w:t>
            </w:r>
            <w:r>
              <w:rPr>
                <w:rFonts w:hint="default" w:ascii="Times New Roman" w:hAnsi="Times New Roman" w:eastAsia="宋体" w:cs="Times New Roman"/>
                <w:color w:val="000000"/>
                <w:kern w:val="0"/>
                <w:sz w:val="24"/>
                <w:szCs w:val="20"/>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黑体" w:cs="Times New Roman"/>
          <w:i w:val="0"/>
          <w:caps w:val="0"/>
          <w:color w:val="000000"/>
          <w:spacing w:val="0"/>
          <w:sz w:val="32"/>
          <w:szCs w:val="32"/>
          <w:shd w:val="clear" w:color="auto" w:fill="FFFFFF"/>
        </w:rPr>
      </w:pPr>
      <w:r>
        <w:rPr>
          <w:rFonts w:hint="default" w:ascii="Times New Roman" w:hAnsi="Times New Roman" w:eastAsia="黑体" w:cs="Times New Roman"/>
          <w:i w:val="0"/>
          <w:caps w:val="0"/>
          <w:color w:val="000000"/>
          <w:spacing w:val="0"/>
          <w:sz w:val="32"/>
          <w:szCs w:val="32"/>
          <w:shd w:val="clear" w:color="auto"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i w:val="0"/>
          <w:caps w:val="0"/>
          <w:color w:val="000000"/>
          <w:spacing w:val="0"/>
          <w:sz w:val="32"/>
          <w:szCs w:val="32"/>
          <w:shd w:val="clear" w:color="auto" w:fill="FFFFFF"/>
        </w:rPr>
        <w:t>2021年，</w:t>
      </w:r>
      <w:r>
        <w:rPr>
          <w:rFonts w:hint="default" w:ascii="Times New Roman" w:hAnsi="Times New Roman" w:cs="Times New Roman"/>
          <w:i w:val="0"/>
          <w:caps w:val="0"/>
          <w:color w:val="000000"/>
          <w:spacing w:val="0"/>
          <w:sz w:val="32"/>
          <w:szCs w:val="32"/>
          <w:shd w:val="clear" w:color="auto" w:fill="FFFFFF"/>
          <w:lang w:eastAsia="zh-CN"/>
        </w:rPr>
        <w:t>我委政府</w:t>
      </w:r>
      <w:r>
        <w:rPr>
          <w:rFonts w:hint="default" w:ascii="Times New Roman" w:hAnsi="Times New Roman" w:eastAsia="仿宋_GB2312" w:cs="Times New Roman"/>
          <w:i w:val="0"/>
          <w:caps w:val="0"/>
          <w:color w:val="000000"/>
          <w:spacing w:val="0"/>
          <w:sz w:val="32"/>
          <w:szCs w:val="32"/>
          <w:shd w:val="clear" w:color="auto" w:fill="FFFFFF"/>
        </w:rPr>
        <w:t>信息公开工作虽然取得</w:t>
      </w:r>
      <w:r>
        <w:rPr>
          <w:rFonts w:hint="default" w:ascii="Times New Roman" w:hAnsi="Times New Roman" w:cs="Times New Roman"/>
          <w:i w:val="0"/>
          <w:caps w:val="0"/>
          <w:color w:val="000000"/>
          <w:spacing w:val="0"/>
          <w:sz w:val="32"/>
          <w:szCs w:val="32"/>
          <w:shd w:val="clear" w:color="auto" w:fill="FFFFFF"/>
          <w:lang w:eastAsia="zh-CN"/>
        </w:rPr>
        <w:t>了</w:t>
      </w:r>
      <w:r>
        <w:rPr>
          <w:rFonts w:hint="default" w:ascii="Times New Roman" w:hAnsi="Times New Roman" w:eastAsia="仿宋_GB2312" w:cs="Times New Roman"/>
          <w:i w:val="0"/>
          <w:caps w:val="0"/>
          <w:color w:val="000000"/>
          <w:spacing w:val="0"/>
          <w:sz w:val="32"/>
          <w:szCs w:val="32"/>
          <w:shd w:val="clear" w:color="auto" w:fill="FFFFFF"/>
        </w:rPr>
        <w:t>一定实效，但与社会</w:t>
      </w:r>
      <w:r>
        <w:rPr>
          <w:rFonts w:hint="default" w:ascii="Times New Roman" w:hAnsi="Times New Roman" w:cs="Times New Roman"/>
          <w:i w:val="0"/>
          <w:caps w:val="0"/>
          <w:color w:val="000000"/>
          <w:spacing w:val="0"/>
          <w:sz w:val="32"/>
          <w:szCs w:val="32"/>
          <w:shd w:val="clear" w:color="auto" w:fill="FFFFFF"/>
          <w:lang w:eastAsia="zh-CN"/>
        </w:rPr>
        <w:t>和</w:t>
      </w:r>
      <w:r>
        <w:rPr>
          <w:rFonts w:hint="default" w:ascii="Times New Roman" w:hAnsi="Times New Roman" w:eastAsia="仿宋_GB2312" w:cs="Times New Roman"/>
          <w:i w:val="0"/>
          <w:caps w:val="0"/>
          <w:color w:val="000000"/>
          <w:spacing w:val="0"/>
          <w:sz w:val="32"/>
          <w:szCs w:val="32"/>
          <w:shd w:val="clear" w:color="auto" w:fill="FFFFFF"/>
        </w:rPr>
        <w:t>公众的需求相比还有一定差距，主要表现在公开渠道的多样性、信息获取的便捷性有待进一步完善</w:t>
      </w:r>
      <w:r>
        <w:rPr>
          <w:rFonts w:hint="default" w:ascii="Times New Roman" w:hAnsi="Times New Roman" w:cs="Times New Roman"/>
          <w:i w:val="0"/>
          <w:caps w:val="0"/>
          <w:color w:val="000000"/>
          <w:spacing w:val="0"/>
          <w:sz w:val="32"/>
          <w:szCs w:val="32"/>
          <w:shd w:val="clear" w:color="auto" w:fill="FFFFFF"/>
          <w:lang w:eastAsia="zh-CN"/>
        </w:rPr>
        <w:t>等问题</w:t>
      </w:r>
      <w:r>
        <w:rPr>
          <w:rFonts w:hint="default" w:ascii="Times New Roman" w:hAnsi="Times New Roman" w:eastAsia="仿宋_GB2312" w:cs="Times New Roman"/>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i w:val="0"/>
          <w:caps w:val="0"/>
          <w:color w:val="000000"/>
          <w:spacing w:val="0"/>
          <w:sz w:val="32"/>
          <w:szCs w:val="32"/>
          <w:shd w:val="clear" w:color="auto" w:fill="FFFFFF"/>
        </w:rPr>
        <w:t>2022年，</w:t>
      </w:r>
      <w:r>
        <w:rPr>
          <w:rFonts w:hint="default" w:ascii="Times New Roman" w:hAnsi="Times New Roman" w:cs="Times New Roman"/>
          <w:i w:val="0"/>
          <w:caps w:val="0"/>
          <w:color w:val="000000"/>
          <w:spacing w:val="0"/>
          <w:sz w:val="32"/>
          <w:szCs w:val="32"/>
          <w:shd w:val="clear" w:color="auto" w:fill="FFFFFF"/>
          <w:lang w:eastAsia="zh-CN"/>
        </w:rPr>
        <w:t>我委</w:t>
      </w:r>
      <w:r>
        <w:rPr>
          <w:rFonts w:hint="default" w:ascii="Times New Roman" w:hAnsi="Times New Roman" w:eastAsia="仿宋_GB2312" w:cs="Times New Roman"/>
          <w:i w:val="0"/>
          <w:caps w:val="0"/>
          <w:color w:val="000000"/>
          <w:spacing w:val="0"/>
          <w:sz w:val="32"/>
          <w:szCs w:val="32"/>
          <w:shd w:val="clear" w:color="auto" w:fill="FFFFFF"/>
        </w:rPr>
        <w:t>将不断完善政府信息公开工作的相关管理制度；拓宽信息公开渠道，充分利用网站、</w:t>
      </w:r>
      <w:r>
        <w:rPr>
          <w:rFonts w:hint="default" w:ascii="Times New Roman" w:hAnsi="Times New Roman" w:cs="Times New Roman"/>
          <w:i w:val="0"/>
          <w:caps w:val="0"/>
          <w:color w:val="000000"/>
          <w:spacing w:val="0"/>
          <w:sz w:val="32"/>
          <w:szCs w:val="32"/>
          <w:shd w:val="clear" w:color="auto" w:fill="FFFFFF"/>
          <w:lang w:eastAsia="zh-CN"/>
        </w:rPr>
        <w:t>政务</w:t>
      </w:r>
      <w:r>
        <w:rPr>
          <w:rFonts w:hint="default" w:ascii="Times New Roman" w:hAnsi="Times New Roman" w:eastAsia="仿宋_GB2312" w:cs="Times New Roman"/>
          <w:i w:val="0"/>
          <w:caps w:val="0"/>
          <w:color w:val="000000"/>
          <w:spacing w:val="0"/>
          <w:sz w:val="32"/>
          <w:szCs w:val="32"/>
          <w:shd w:val="clear" w:color="auto" w:fill="FFFFFF"/>
        </w:rPr>
        <w:t>新媒体等平台提高公众对政府信息的知晓情况；做好政府信息公开的办理和答复，确保依法</w:t>
      </w:r>
      <w:r>
        <w:rPr>
          <w:rFonts w:hint="default" w:ascii="Times New Roman" w:hAnsi="Times New Roman" w:cs="Times New Roman"/>
          <w:i w:val="0"/>
          <w:caps w:val="0"/>
          <w:color w:val="000000"/>
          <w:spacing w:val="0"/>
          <w:sz w:val="32"/>
          <w:szCs w:val="32"/>
          <w:shd w:val="clear" w:color="auto" w:fill="FFFFFF"/>
          <w:lang w:eastAsia="zh-CN"/>
        </w:rPr>
        <w:t>依</w:t>
      </w:r>
      <w:r>
        <w:rPr>
          <w:rFonts w:hint="default" w:ascii="Times New Roman" w:hAnsi="Times New Roman" w:eastAsia="仿宋_GB2312" w:cs="Times New Roman"/>
          <w:i w:val="0"/>
          <w:caps w:val="0"/>
          <w:color w:val="000000"/>
          <w:spacing w:val="0"/>
          <w:sz w:val="32"/>
          <w:szCs w:val="32"/>
          <w:shd w:val="clear" w:color="auto" w:fill="FFFFFF"/>
        </w:rPr>
        <w:t>规办理政府信息公开申请，保障申请人合法权益。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黑体" w:cs="Times New Roman"/>
          <w:i w:val="0"/>
          <w:caps w:val="0"/>
          <w:color w:val="000000"/>
          <w:spacing w:val="0"/>
          <w:sz w:val="32"/>
          <w:szCs w:val="32"/>
          <w:shd w:val="clear" w:color="auto" w:fill="FFFFFF"/>
        </w:rPr>
      </w:pPr>
      <w:r>
        <w:rPr>
          <w:rFonts w:hint="default" w:ascii="Times New Roman" w:hAnsi="Times New Roman" w:eastAsia="黑体" w:cs="Times New Roman"/>
          <w:i w:val="0"/>
          <w:caps w:val="0"/>
          <w:color w:val="000000"/>
          <w:spacing w:val="0"/>
          <w:sz w:val="32"/>
          <w:szCs w:val="32"/>
          <w:shd w:val="clear" w:color="auto" w:fill="FFFFFF"/>
          <w:lang w:val="en-US" w:eastAsia="zh-CN"/>
        </w:rPr>
        <w:t>六、</w:t>
      </w:r>
      <w:r>
        <w:rPr>
          <w:rFonts w:hint="default" w:ascii="Times New Roman" w:hAnsi="Times New Roman" w:eastAsia="黑体" w:cs="Times New Roman"/>
          <w:i w:val="0"/>
          <w:caps w:val="0"/>
          <w:color w:val="000000"/>
          <w:spacing w:val="0"/>
          <w:sz w:val="32"/>
          <w:szCs w:val="32"/>
          <w:shd w:val="clear" w:color="auto" w:fill="FFFFFF"/>
        </w:rPr>
        <w:t>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i w:val="0"/>
          <w:caps w:val="0"/>
          <w:color w:val="000000"/>
          <w:spacing w:val="0"/>
          <w:sz w:val="32"/>
          <w:szCs w:val="32"/>
          <w:shd w:val="clear" w:color="auto" w:fill="FFFFFF"/>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2021年，我委无收取信息处理费情况。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i w:val="0"/>
          <w:caps w:val="0"/>
          <w:color w:val="000000"/>
          <w:spacing w:val="0"/>
          <w:sz w:val="32"/>
          <w:szCs w:val="32"/>
          <w:shd w:val="clear" w:color="auto" w:fill="FFFFFF"/>
        </w:rPr>
      </w:pPr>
      <w:r>
        <w:rPr>
          <w:rFonts w:hint="default" w:ascii="Times New Roman" w:hAnsi="Times New Roman" w:eastAsia="仿宋_GB2312" w:cs="Times New Roman"/>
          <w:i w:val="0"/>
          <w:caps w:val="0"/>
          <w:color w:val="000000"/>
          <w:spacing w:val="0"/>
          <w:sz w:val="32"/>
          <w:szCs w:val="32"/>
          <w:shd w:val="clear" w:color="auto" w:fill="FFFFFF"/>
        </w:rPr>
        <w:t>如需了解更多相关信息</w:t>
      </w:r>
      <w:r>
        <w:rPr>
          <w:rFonts w:hint="default" w:ascii="Times New Roman" w:hAnsi="Times New Roman" w:eastAsia="仿宋_GB2312" w:cs="Times New Roman"/>
          <w:i w:val="0"/>
          <w:caps w:val="0"/>
          <w:color w:val="000000"/>
          <w:spacing w:val="0"/>
          <w:sz w:val="32"/>
          <w:szCs w:val="32"/>
          <w:shd w:val="clear" w:color="auto" w:fill="FFFFFF"/>
          <w:lang w:eastAsia="zh-CN"/>
        </w:rPr>
        <w:t>，请登录我委</w:t>
      </w:r>
      <w:r>
        <w:rPr>
          <w:rFonts w:hint="default" w:ascii="Times New Roman" w:hAnsi="Times New Roman" w:eastAsia="仿宋_GB2312" w:cs="Times New Roman"/>
          <w:i w:val="0"/>
          <w:caps w:val="0"/>
          <w:color w:val="000000"/>
          <w:spacing w:val="0"/>
          <w:sz w:val="32"/>
          <w:szCs w:val="32"/>
          <w:shd w:val="clear" w:color="auto" w:fill="FFFFFF"/>
        </w:rPr>
        <w:t>政务公开目录</w:t>
      </w:r>
      <w:r>
        <w:rPr>
          <w:rFonts w:hint="default" w:ascii="Times New Roman" w:hAnsi="Times New Roman" w:eastAsia="仿宋_GB2312" w:cs="Times New Roman"/>
          <w:i w:val="0"/>
          <w:caps w:val="0"/>
          <w:color w:val="000000"/>
          <w:spacing w:val="0"/>
          <w:sz w:val="32"/>
          <w:szCs w:val="32"/>
          <w:shd w:val="clear" w:color="auto" w:fill="FFFFFF"/>
          <w:lang w:eastAsia="zh-CN"/>
        </w:rPr>
        <w:t>进行</w:t>
      </w:r>
      <w:r>
        <w:rPr>
          <w:rFonts w:hint="default" w:ascii="Times New Roman" w:hAnsi="Times New Roman" w:eastAsia="仿宋_GB2312" w:cs="Times New Roman"/>
          <w:i w:val="0"/>
          <w:caps w:val="0"/>
          <w:color w:val="000000"/>
          <w:spacing w:val="0"/>
          <w:sz w:val="32"/>
          <w:szCs w:val="32"/>
          <w:shd w:val="clear" w:color="auto" w:fill="FFFFFF"/>
        </w:rPr>
        <w:t>查询</w:t>
      </w:r>
      <w:r>
        <w:rPr>
          <w:rFonts w:hint="default" w:ascii="Times New Roman" w:hAnsi="Times New Roman" w:eastAsia="仿宋_GB2312" w:cs="Times New Roman"/>
          <w:i w:val="0"/>
          <w:caps w:val="0"/>
          <w:color w:val="000000"/>
          <w:spacing w:val="0"/>
          <w:sz w:val="32"/>
          <w:szCs w:val="32"/>
          <w:shd w:val="clear" w:color="auto" w:fill="FFFFFF"/>
          <w:lang w:eastAsia="zh-CN"/>
        </w:rPr>
        <w:t>（</w:t>
      </w:r>
      <w:r>
        <w:rPr>
          <w:rFonts w:hint="default" w:ascii="Times New Roman" w:hAnsi="Times New Roman" w:eastAsia="仿宋_GB2312" w:cs="Times New Roman"/>
          <w:i w:val="0"/>
          <w:caps w:val="0"/>
          <w:color w:val="000000"/>
          <w:spacing w:val="0"/>
          <w:sz w:val="32"/>
          <w:szCs w:val="32"/>
          <w:shd w:val="clear" w:color="auto" w:fill="FFFFFF"/>
        </w:rPr>
        <w:t>网址：http://www.hp.gov.cn/gzhpswd/gkmlpt/index</w:t>
      </w:r>
      <w:r>
        <w:rPr>
          <w:rFonts w:hint="default" w:ascii="Times New Roman" w:hAnsi="Times New Roman" w:eastAsia="仿宋_GB2312" w:cs="Times New Roman"/>
          <w:i w:val="0"/>
          <w:caps w:val="0"/>
          <w:color w:val="000000"/>
          <w:spacing w:val="0"/>
          <w:sz w:val="32"/>
          <w:szCs w:val="32"/>
          <w:shd w:val="clear" w:color="auto" w:fill="FFFFFF"/>
          <w:lang w:eastAsia="zh-CN"/>
        </w:rPr>
        <w:t>）</w:t>
      </w:r>
      <w:r>
        <w:rPr>
          <w:rFonts w:hint="default" w:ascii="Times New Roman" w:hAnsi="Times New Roman" w:eastAsia="仿宋_GB2312" w:cs="Times New Roman"/>
          <w:i w:val="0"/>
          <w:caps w:val="0"/>
          <w:color w:val="000000"/>
          <w:spacing w:val="0"/>
          <w:sz w:val="32"/>
          <w:szCs w:val="32"/>
          <w:shd w:val="clear" w:color="auto" w:fill="FFFFFF"/>
        </w:rPr>
        <w:t>。</w:t>
      </w:r>
    </w:p>
    <w:p>
      <w:pPr>
        <w:rPr>
          <w:rFonts w:hint="default" w:ascii="Times New Roman" w:hAnsi="Times New Roman" w:cs="Times New Roma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A1DE1"/>
    <w:rsid w:val="02EC2FDA"/>
    <w:rsid w:val="175A1DE1"/>
    <w:rsid w:val="1A2326ED"/>
    <w:rsid w:val="1D5C4DBD"/>
    <w:rsid w:val="287B73AC"/>
    <w:rsid w:val="292A1620"/>
    <w:rsid w:val="29E10EA3"/>
    <w:rsid w:val="2B645651"/>
    <w:rsid w:val="2C9B6F0A"/>
    <w:rsid w:val="2CD7393B"/>
    <w:rsid w:val="30AA2399"/>
    <w:rsid w:val="31562753"/>
    <w:rsid w:val="52E467E6"/>
    <w:rsid w:val="696B5789"/>
    <w:rsid w:val="6D90688C"/>
    <w:rsid w:val="72393110"/>
    <w:rsid w:val="7564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0"/>
    <w:pPr>
      <w:spacing w:line="240" w:lineRule="auto"/>
      <w:jc w:val="center"/>
    </w:pPr>
    <w:rPr>
      <w:rFonts w:ascii="仿宋_GB2312" w:hAnsi="黑体" w:eastAsia="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rgbClr val="7F7F7F">
                    <a:lumMod val="50000"/>
                    <a:lumOff val="50000"/>
                  </a:srgbClr>
                </a:solidFill>
                <a:latin typeface="+mn-lt"/>
                <a:ea typeface="+mn-ea"/>
                <a:cs typeface="+mn-cs"/>
              </a:defRPr>
            </a:pPr>
            <a:r>
              <a:rPr b="1"/>
              <a:t>广州国际生物岛（中以合作区）管理委员会2021年政府信息公开情况</a:t>
            </a:r>
            <a:endParaRPr b="1"/>
          </a:p>
        </c:rich>
      </c:tx>
      <c:layout/>
      <c:overlay val="0"/>
      <c:spPr>
        <a:noFill/>
        <a:ln>
          <a:noFill/>
        </a:ln>
        <a:effectLst/>
      </c:spPr>
    </c:title>
    <c:autoTitleDeleted val="0"/>
    <c:plotArea>
      <c:layout/>
      <c:pieChart>
        <c:varyColors val="1"/>
        <c:ser>
          <c:idx val="0"/>
          <c:order val="0"/>
          <c:tx>
            <c:strRef>
              <c:f>[工作簿1.xlsx]Sheet1!$B$1</c:f>
              <c:strCache>
                <c:ptCount val="1"/>
                <c:pt idx="0">
                  <c:v>广州国际生物岛（中以合作区）管理委员会2021年政府信息公开情况</c:v>
                </c:pt>
              </c:strCache>
            </c:strRef>
          </c:tx>
          <c:spPr/>
          <c:explosion val="0"/>
          <c:dPt>
            <c:idx val="0"/>
            <c:bubble3D val="0"/>
            <c:spPr>
              <a:gradFill rotWithShape="1">
                <a:gsLst>
                  <a:gs pos="0">
                    <a:srgbClr val="ABBEDB">
                      <a:lumMod val="110000"/>
                      <a:satMod val="105000"/>
                      <a:tint val="67000"/>
                    </a:srgbClr>
                  </a:gs>
                  <a:gs pos="50000">
                    <a:srgbClr val="9EB3D5">
                      <a:lumMod val="105000"/>
                      <a:satMod val="103000"/>
                      <a:tint val="73000"/>
                    </a:srgbClr>
                  </a:gs>
                  <a:gs pos="100000">
                    <a:srgbClr val="8CA7D2">
                      <a:lumMod val="105000"/>
                      <a:satMod val="109000"/>
                      <a:tint val="81000"/>
                    </a:srgbClr>
                  </a:gs>
                </a:gsLst>
                <a:lin ang="5400000" scaled="0"/>
              </a:gradFill>
              <a:ln w="9525" cap="flat" cmpd="sng" algn="ctr">
                <a:solidFill>
                  <a:srgbClr val="4D7EB9">
                    <a:shade val="95000"/>
                  </a:srgbClr>
                </a:solidFill>
                <a:round/>
              </a:ln>
              <a:effectLst/>
            </c:spPr>
          </c:dPt>
          <c:dPt>
            <c:idx val="1"/>
            <c:bubble3D val="0"/>
            <c:spPr>
              <a:gradFill rotWithShape="1">
                <a:gsLst>
                  <a:gs pos="0">
                    <a:srgbClr val="DDACAB">
                      <a:lumMod val="110000"/>
                      <a:satMod val="105000"/>
                      <a:tint val="67000"/>
                    </a:srgbClr>
                  </a:gs>
                  <a:gs pos="50000">
                    <a:srgbClr val="D79E9D">
                      <a:lumMod val="105000"/>
                      <a:satMod val="103000"/>
                      <a:tint val="73000"/>
                    </a:srgbClr>
                  </a:gs>
                  <a:gs pos="100000">
                    <a:srgbClr val="D48C8B">
                      <a:lumMod val="105000"/>
                      <a:satMod val="109000"/>
                      <a:tint val="81000"/>
                    </a:srgbClr>
                  </a:gs>
                </a:gsLst>
                <a:lin ang="5400000" scaled="0"/>
              </a:gradFill>
              <a:ln w="9525" cap="flat" cmpd="sng" algn="ctr">
                <a:solidFill>
                  <a:srgbClr val="BC4E4B">
                    <a:shade val="95000"/>
                  </a:srgbClr>
                </a:solidFill>
                <a:round/>
              </a:ln>
              <a:effectLst/>
            </c:spPr>
          </c:dPt>
          <c:dPt>
            <c:idx val="2"/>
            <c:bubble3D val="0"/>
            <c:spPr>
              <a:gradFill rotWithShape="1">
                <a:gsLst>
                  <a:gs pos="0">
                    <a:srgbClr val="CADBAF">
                      <a:lumMod val="110000"/>
                      <a:satMod val="105000"/>
                      <a:tint val="67000"/>
                    </a:srgbClr>
                  </a:gs>
                  <a:gs pos="50000">
                    <a:srgbClr val="C1D4A1">
                      <a:lumMod val="105000"/>
                      <a:satMod val="103000"/>
                      <a:tint val="73000"/>
                    </a:srgbClr>
                  </a:gs>
                  <a:gs pos="100000">
                    <a:srgbClr val="B9D091">
                      <a:lumMod val="105000"/>
                      <a:satMod val="109000"/>
                      <a:tint val="81000"/>
                    </a:srgbClr>
                  </a:gs>
                </a:gsLst>
                <a:lin ang="5400000" scaled="0"/>
              </a:gradFill>
              <a:ln w="9525" cap="flat" cmpd="sng" algn="ctr">
                <a:solidFill>
                  <a:srgbClr val="97B757">
                    <a:shade val="95000"/>
                  </a:srgbClr>
                </a:solidFill>
                <a:round/>
              </a:ln>
              <a:effectLst/>
            </c:spPr>
          </c:dPt>
          <c:dPt>
            <c:idx val="3"/>
            <c:bubble3D val="0"/>
            <c:spPr>
              <a:gradFill rotWithShape="1">
                <a:gsLst>
                  <a:gs pos="0">
                    <a:srgbClr val="BDB2CD">
                      <a:lumMod val="110000"/>
                      <a:satMod val="105000"/>
                      <a:tint val="67000"/>
                    </a:srgbClr>
                  </a:gs>
                  <a:gs pos="50000">
                    <a:srgbClr val="B2A5C4">
                      <a:lumMod val="105000"/>
                      <a:satMod val="103000"/>
                      <a:tint val="73000"/>
                    </a:srgbClr>
                  </a:gs>
                  <a:gs pos="100000">
                    <a:srgbClr val="A796BE">
                      <a:lumMod val="105000"/>
                      <a:satMod val="109000"/>
                      <a:tint val="81000"/>
                    </a:srgbClr>
                  </a:gs>
                </a:gsLst>
                <a:lin ang="5400000" scaled="0"/>
              </a:gradFill>
              <a:ln w="9525" cap="flat" cmpd="sng" algn="ctr">
                <a:solidFill>
                  <a:srgbClr val="7D629E">
                    <a:shade val="95000"/>
                  </a:srgbClr>
                </a:solidFill>
                <a:round/>
              </a:ln>
              <a:effectLst/>
            </c:spPr>
          </c:dPt>
          <c:dPt>
            <c:idx val="4"/>
            <c:bubble3D val="0"/>
            <c:spPr>
              <a:gradFill rotWithShape="1">
                <a:gsLst>
                  <a:gs pos="0">
                    <a:srgbClr val="AAD2E1">
                      <a:lumMod val="110000"/>
                      <a:satMod val="105000"/>
                      <a:tint val="67000"/>
                    </a:srgbClr>
                  </a:gs>
                  <a:gs pos="50000">
                    <a:srgbClr val="9CCBDB">
                      <a:lumMod val="105000"/>
                      <a:satMod val="103000"/>
                      <a:tint val="73000"/>
                    </a:srgbClr>
                  </a:gs>
                  <a:gs pos="100000">
                    <a:srgbClr val="8AC5D9">
                      <a:lumMod val="105000"/>
                      <a:satMod val="109000"/>
                      <a:tint val="81000"/>
                    </a:srgbClr>
                  </a:gs>
                </a:gsLst>
                <a:lin ang="5400000" scaled="0"/>
              </a:gradFill>
              <a:ln w="9525" cap="flat" cmpd="sng" algn="ctr">
                <a:solidFill>
                  <a:srgbClr val="49A8C2">
                    <a:shade val="95000"/>
                  </a:srgbClr>
                </a:solidFill>
                <a:round/>
              </a:ln>
              <a:effectLst/>
            </c:spPr>
          </c:dPt>
          <c:dPt>
            <c:idx val="5"/>
            <c:bubble3D val="0"/>
            <c:spPr>
              <a:gradFill rotWithShape="1">
                <a:gsLst>
                  <a:gs pos="0">
                    <a:srgbClr val="FDCAAB">
                      <a:lumMod val="110000"/>
                      <a:satMod val="105000"/>
                      <a:tint val="67000"/>
                    </a:srgbClr>
                  </a:gs>
                  <a:gs pos="50000">
                    <a:srgbClr val="FBBF9C">
                      <a:lumMod val="105000"/>
                      <a:satMod val="103000"/>
                      <a:tint val="73000"/>
                    </a:srgbClr>
                  </a:gs>
                  <a:gs pos="100000">
                    <a:srgbClr val="FFB689">
                      <a:lumMod val="105000"/>
                      <a:satMod val="109000"/>
                      <a:tint val="81000"/>
                    </a:srgbClr>
                  </a:gs>
                </a:gsLst>
                <a:lin ang="5400000" scaled="0"/>
              </a:gradFill>
              <a:ln w="9525" cap="flat" cmpd="sng" algn="ctr">
                <a:solidFill>
                  <a:srgbClr val="F19344">
                    <a:shade val="95000"/>
                  </a:srgbClr>
                </a:solidFill>
                <a:round/>
              </a:ln>
              <a:effectLst/>
            </c:spPr>
          </c:dPt>
          <c:dPt>
            <c:idx val="6"/>
            <c:bubble3D val="0"/>
            <c:spPr>
              <a:gradFill rotWithShape="1">
                <a:gsLst>
                  <a:gs pos="0">
                    <a:srgbClr val="9FA8B8">
                      <a:lumMod val="60000"/>
                      <a:lumMod val="110000"/>
                      <a:satMod val="105000"/>
                      <a:tint val="67000"/>
                    </a:srgbClr>
                  </a:gs>
                  <a:gs pos="50000">
                    <a:srgbClr val="929BAD">
                      <a:lumMod val="60000"/>
                      <a:lumMod val="105000"/>
                      <a:satMod val="103000"/>
                      <a:tint val="73000"/>
                    </a:srgbClr>
                  </a:gs>
                  <a:gs pos="100000">
                    <a:srgbClr val="7E8AA2">
                      <a:lumMod val="60000"/>
                      <a:lumMod val="105000"/>
                      <a:satMod val="109000"/>
                      <a:tint val="81000"/>
                    </a:srgbClr>
                  </a:gs>
                </a:gsLst>
                <a:lin ang="5400000" scaled="0"/>
              </a:gradFill>
              <a:ln w="9525" cap="flat" cmpd="sng" algn="ctr">
                <a:solidFill>
                  <a:srgbClr val="2B4B72">
                    <a:lumMod val="60000"/>
                    <a:shade val="95000"/>
                  </a:srgbClr>
                </a:solidFill>
                <a:round/>
              </a:ln>
              <a:effectLst/>
            </c:spPr>
          </c:dPt>
          <c:dPt>
            <c:idx val="7"/>
            <c:bubble3D val="0"/>
            <c:spPr>
              <a:gradFill rotWithShape="1">
                <a:gsLst>
                  <a:gs pos="0">
                    <a:srgbClr val="B99F9F">
                      <a:lumMod val="60000"/>
                      <a:lumMod val="110000"/>
                      <a:satMod val="105000"/>
                      <a:tint val="67000"/>
                    </a:srgbClr>
                  </a:gs>
                  <a:gs pos="50000">
                    <a:srgbClr val="AE9292">
                      <a:lumMod val="60000"/>
                      <a:lumMod val="105000"/>
                      <a:satMod val="103000"/>
                      <a:tint val="73000"/>
                    </a:srgbClr>
                  </a:gs>
                  <a:gs pos="100000">
                    <a:srgbClr val="A37E7E">
                      <a:lumMod val="60000"/>
                      <a:lumMod val="105000"/>
                      <a:satMod val="109000"/>
                      <a:tint val="81000"/>
                    </a:srgbClr>
                  </a:gs>
                </a:gsLst>
                <a:lin ang="5400000" scaled="0"/>
              </a:gradFill>
              <a:ln w="9525" cap="flat" cmpd="sng" algn="ctr">
                <a:solidFill>
                  <a:srgbClr val="742B29">
                    <a:lumMod val="60000"/>
                    <a:shade val="95000"/>
                  </a:srgbClr>
                </a:solidFill>
                <a:round/>
              </a:ln>
              <a:effectLst/>
            </c:spPr>
          </c:dPt>
          <c:dPt>
            <c:idx val="8"/>
            <c:bubble3D val="0"/>
            <c:spPr>
              <a:gradFill rotWithShape="1">
                <a:gsLst>
                  <a:gs pos="0">
                    <a:srgbClr val="AEB9A0">
                      <a:lumMod val="60000"/>
                      <a:lumMod val="110000"/>
                      <a:satMod val="105000"/>
                      <a:tint val="67000"/>
                    </a:srgbClr>
                  </a:gs>
                  <a:gs pos="50000">
                    <a:srgbClr val="A2AD93">
                      <a:lumMod val="60000"/>
                      <a:lumMod val="105000"/>
                      <a:satMod val="103000"/>
                      <a:tint val="73000"/>
                    </a:srgbClr>
                  </a:gs>
                  <a:gs pos="100000">
                    <a:srgbClr val="94A27F">
                      <a:lumMod val="60000"/>
                      <a:lumMod val="105000"/>
                      <a:satMod val="109000"/>
                      <a:tint val="81000"/>
                    </a:srgbClr>
                  </a:gs>
                </a:gsLst>
                <a:lin ang="5400000" scaled="0"/>
              </a:gradFill>
              <a:ln w="9525" cap="flat" cmpd="sng" algn="ctr">
                <a:solidFill>
                  <a:srgbClr val="5D732F">
                    <a:lumMod val="60000"/>
                    <a:shade val="95000"/>
                  </a:srgbClr>
                </a:solidFill>
                <a:round/>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[工作簿1.xlsx]Sheet1!$A$2:$A$10</c:f>
              <c:strCache>
                <c:ptCount val="9"/>
                <c:pt idx="0">
                  <c:v>组织机构</c:v>
                </c:pt>
                <c:pt idx="1">
                  <c:v>部门文件</c:v>
                </c:pt>
                <c:pt idx="2">
                  <c:v>工作动态</c:v>
                </c:pt>
                <c:pt idx="3">
                  <c:v>办事指南</c:v>
                </c:pt>
                <c:pt idx="4">
                  <c:v>财政预决算</c:v>
                </c:pt>
                <c:pt idx="5">
                  <c:v>通知公告</c:v>
                </c:pt>
                <c:pt idx="6">
                  <c:v>招标投标</c:v>
                </c:pt>
                <c:pt idx="7">
                  <c:v>民意征集</c:v>
                </c:pt>
                <c:pt idx="8">
                  <c:v>征集结果</c:v>
                </c:pt>
              </c:strCache>
            </c:strRef>
          </c:cat>
          <c:val>
            <c:numRef>
              <c:f>[工作簿1.xlsx]Sheet1!$B$2:$B$10</c:f>
              <c:numCache>
                <c:formatCode>General</c:formatCode>
                <c:ptCount val="9"/>
                <c:pt idx="0">
                  <c:v>5</c:v>
                </c:pt>
                <c:pt idx="1">
                  <c:v>6</c:v>
                </c:pt>
                <c:pt idx="2">
                  <c:v>41</c:v>
                </c:pt>
                <c:pt idx="3">
                  <c:v>1</c:v>
                </c:pt>
                <c:pt idx="4">
                  <c:v>3</c:v>
                </c:pt>
                <c:pt idx="5">
                  <c:v>4</c:v>
                </c:pt>
                <c:pt idx="6">
                  <c:v>31</c:v>
                </c:pt>
                <c:pt idx="7">
                  <c:v>1</c:v>
                </c:pt>
                <c:pt idx="8">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3"/>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4"/>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5"/>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6"/>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7"/>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egendEntry>
        <c:idx val="8"/>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rgbClr val="7F7F7F">
                  <a:lumMod val="50000"/>
                  <a:lumOff val="50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rgbClr val="7F7F7F">
        <a:lumMod val="50000"/>
        <a:lumOff val="50000"/>
      </a:srgbClr>
    </cs:fontRef>
    <cs:defRPr sz="900" kern="1200" cap="all"/>
  </cs:axisTitle>
  <cs:categoryAxis>
    <cs:lnRef idx="0"/>
    <cs:fillRef idx="0"/>
    <cs:effectRef idx="0"/>
    <cs:fontRef idx="minor">
      <a:srgbClr val="7F7F7F">
        <a:lumMod val="50000"/>
        <a:lumOff val="50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595959">
        <a:lumMod val="65000"/>
        <a:lumOff val="3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rgbClr val="000000"/>
    </cs:fontRef>
    <cs:spPr>
      <a:ln w="9525" cap="flat" cmpd="sng" algn="ctr">
        <a:solidFill>
          <a:srgbClr val="F9F9F9">
            <a:shade val="95000"/>
          </a:srgbClr>
        </a:solidFill>
        <a:round/>
      </a:ln>
    </cs:spPr>
  </cs:dataPoint>
  <cs:dataPoint3D>
    <cs:lnRef idx="0"/>
    <cs:fillRef idx="2">
      <cs:styleClr val="auto"/>
    </cs:fillRef>
    <cs:effectRef idx="1"/>
    <cs:fontRef idx="minor">
      <a:srgbClr val="000000"/>
    </cs:fontRef>
  </cs:dataPoint3D>
  <cs:dataPointLine>
    <cs:lnRef idx="0">
      <cs:styleClr val="auto"/>
    </cs:lnRef>
    <cs:fillRef idx="2">
      <cs:styleClr val="auto"/>
    </cs:fillRef>
    <cs:effectRef idx="1"/>
    <cs:fontRef idx="minor">
      <a:srgbClr val="000000"/>
    </cs:fontRef>
    <cs:spPr>
      <a:ln w="15875" cap="rnd">
        <a:solidFill>
          <a:srgbClr val="FFFFFF"/>
        </a:solidFill>
        <a:round/>
      </a:ln>
    </cs:spPr>
  </cs:dataPointLine>
  <cs:dataPointMarker>
    <cs:lnRef idx="0">
      <cs:styleClr val="auto"/>
    </cs:lnRef>
    <cs:fillRef idx="2">
      <cs:styleClr val="auto"/>
    </cs:fillRef>
    <cs:effectRef idx="1"/>
    <cs:fontRef idx="minor">
      <a:srgbClr val="000000"/>
    </cs:fontRef>
    <cs:spPr>
      <a:ln w="9525" cap="flat" cmpd="sng" algn="ctr">
        <a:solidFill>
          <a:srgbClr val="F9F9F9">
            <a:shade val="95000"/>
          </a:srgbClr>
        </a:solidFill>
        <a:round/>
      </a:ln>
    </cs:spPr>
  </cs:dataPointMarker>
  <cs:dataPointMarkerLayout symbol="circle" size="4"/>
  <cs:dataPointWireframe>
    <cs:lnRef idx="0">
      <cs:styleClr val="auto"/>
    </cs:lnRef>
    <cs:fillRef idx="2"/>
    <cs:effectRef idx="0"/>
    <cs:fontRef idx="minor">
      <a:srgbClr val="000000"/>
    </cs:fontRef>
    <cs:spPr>
      <a:ln w="9525" cap="rnd">
        <a:solidFill>
          <a:srgbClr val="FFFFFF"/>
        </a:solidFill>
        <a:round/>
      </a:ln>
    </cs:spPr>
  </cs:dataPointWireframe>
  <cs:dataTable>
    <cs:lnRef idx="0"/>
    <cs:fillRef idx="0"/>
    <cs:effectRef idx="0"/>
    <cs:fontRef idx="minor">
      <a:srgbClr val="7F7F7F">
        <a:lumMod val="50000"/>
        <a:lumOff val="50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7F7F7F">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7F7F7F">
            <a:lumMod val="50000"/>
            <a:lumOff val="50000"/>
          </a:srgbClr>
        </a:solidFill>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7F7F7F">
            <a:lumMod val="50000"/>
            <a:lumOff val="50000"/>
          </a:srgbClr>
        </a:solidFill>
        <a:prstDash val="dash"/>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7F7F7F">
        <a:lumMod val="50000"/>
        <a:lumOff val="50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7F7F7F">
        <a:lumMod val="50000"/>
        <a:lumOff val="50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a:solidFill>
          <a:srgbClr val="A6A6A6">
            <a:lumMod val="35000"/>
            <a:lumOff val="65000"/>
          </a:srgbClr>
        </a:solidFill>
        <a:prstDash val="dash"/>
      </a:ln>
    </cs:spPr>
  </cs:seriesLine>
  <cs:title>
    <cs:lnRef idx="0"/>
    <cs:fillRef idx="0"/>
    <cs:effectRef idx="0"/>
    <cs:fontRef idx="minor">
      <a:srgbClr val="7F7F7F">
        <a:lumMod val="50000"/>
        <a:lumOff val="50000"/>
      </a:srgbClr>
    </cs:fontRef>
    <cs:defRPr sz="1400" kern="1200" cap="none" spc="20" baseline="0"/>
  </cs:title>
  <cs:trendline>
    <cs:lnRef idx="0">
      <cs:styleClr val="auto"/>
    </cs:lnRef>
    <cs:fillRef idx="2"/>
    <cs:effectRef idx="0"/>
    <cs:fontRef idx="minor">
      <a:srgbClr val="000000"/>
    </cs:fontRef>
    <cs:spPr>
      <a:ln w="9525" cap="rnd">
        <a:solidFill>
          <a:srgbClr val="FFFFFF"/>
        </a:solidFill>
      </a:ln>
    </cs:spPr>
  </cs:trendline>
  <cs:trendlineLabel>
    <cs:lnRef idx="0"/>
    <cs:fillRef idx="0"/>
    <cs:effectRef idx="0"/>
    <cs:fontRef idx="minor">
      <a:srgbClr val="7F7F7F">
        <a:lumMod val="50000"/>
        <a:lumOff val="50000"/>
      </a:srgbClr>
    </cs:fontRef>
    <cs:defRPr sz="900" kern="1200"/>
  </cs:trendlineLabel>
  <cs:upBar>
    <cs:lnRef idx="0"/>
    <cs:fillRef idx="0"/>
    <cs:effectRef idx="0"/>
    <cs:fontRef idx="minor">
      <a:srgbClr val="000000"/>
    </cs:fontRef>
    <cs:spPr>
      <a:solidFill>
        <a:srgbClr val="FFFFFF"/>
      </a:solidFill>
      <a:ln w="9525">
        <a:solidFill>
          <a:srgbClr val="7F7F7F">
            <a:lumMod val="50000"/>
            <a:lumOff val="50000"/>
          </a:srgbClr>
        </a:solidFill>
      </a:ln>
    </cs:spPr>
  </cs:upBar>
  <cs:valueAxis>
    <cs:lnRef idx="0"/>
    <cs:fillRef idx="0"/>
    <cs:effectRef idx="0"/>
    <cs:fontRef idx="minor">
      <a:srgbClr val="7F7F7F">
        <a:lumMod val="50000"/>
        <a:lumOff val="50000"/>
      </a:srgbClr>
    </cs:fontRef>
    <cs:defRPr sz="900" kern="1200"/>
  </cs:valueAxis>
  <cs:wall>
    <cs:lnRef idx="0"/>
    <cs:fillRef idx="0"/>
    <cs:effectRef idx="0"/>
    <cs:fontRef idx="minor">
      <a:srgbClr val="000000"/>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2022-01-20T07:14:00Z</dcterms:created>
  <dc:creator>QQQQQ㎡</dc:creator>
  <cp:lastModifiedBy>QQQQQ㎡</cp:lastModifiedBy>
  <dcterms:modified xsi:type="dcterms:W3CDTF">2022-01-20T07:26:05Z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