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附件8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申报书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(创新类-科研院所组）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填写完整信息，无相关事项的请填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“无”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请填写全面、真实的信息。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若表格不够，可自行添加。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（三）请用中文填写申报书。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（一）申报人：请填写与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有效身份证明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“护照名（中文名）”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申报人在本区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的工作单位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，请填写完整的单位名称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专业领域：请在数学、物理、化学、环境与地球科学、信息科学、工程、材料科学、生命科学、医学、经济与管理10个选项中择一填入。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细分领域：请根据实际情况填写具体研究领域。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研究所属类型：请在基础研究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应用基础研究与技术开发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三、申报书正文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有效身份证明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“护照名（中文名）”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照片：为近期小两寸正面免冠证件照，并提供电子版。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证件类型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及号码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中国籍内地地区居民请填写居民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及证件号码，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港、澳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地区居民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港澳居民来往内地通行证或台湾居民来往大陆通行证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及证件号码，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人士请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护照及证件号码。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中共党员、中共预备党员、共青团员、民革党员、民盟盟员、民建会员、民进会员、农工党党员、致公党党员、九三学社社员、台盟盟员、无党派人士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群众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、其他等14个选项中择一填入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民族：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中国籍申报人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请据实填写，外籍申报人可填写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“/”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最高学历：指申报人取得的最高学历。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毕业院校：指申报人取得最高学历的毕业院校。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所学专业：指申报人取得最高学历对应的专业，应与学位证一致。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：指申报单位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，请填写完整的单位名称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首次到本区工作时间：指申报人第一次到本区工作的时间，格式示例2019.1。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个人年申报收入额：指申报人在申报单位近12个月实际取得的工资薪金、奖金、股息红利等收入（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可根据附件6第6点要求的材料来核算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），非劳动合同约定的年收入。。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教育经历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自本科填起，按时间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倒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序填写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全职工作经历：按时间倒序填写，时间上应具有连续性，具体到月份，若期间存在未工作的情况，该时间段须填写“待业”；时间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兼职工作经历：按时间倒序填写；时间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重大人才工程级别：请在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国家级、省部级、地市级、区级4个选项中择一填入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入选时间：格式示例2019.1。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依托单位所在地：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指依托申报并入选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人才工程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的单位所在地，广州市以外的地区，请填写为：xx省xx市，如广东省中山市；广州市以内的地区，请填写为：广州市xx区，如广州市黄埔区、广州开发区。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个人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专长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请概述本人的研究领域、方向，个人创新能力水平：从事基础研究的人才，重点描述个人在基础研究方面取得的成果；从事应用基础研究与技术开发的人才，重点描述在技术创新、技术水平、技术推广、自主知识产权的获得和转化应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项目性质及来源：示例：科技部国家重大科学研究计划；国家自然科学基金面上项目。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成果转化所处阶段：请在生产性试验（中试）、传播与交易、产业化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val="en-US" w:eastAsia="zh-CN"/>
        </w:rPr>
        <w:t>3个选项中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择一填入。</w:t>
      </w:r>
    </w:p>
    <w:p>
      <w:pPr>
        <w:ind w:left="0" w:leftChars="0" w:firstLine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A2ADB"/>
    <w:multiLevelType w:val="singleLevel"/>
    <w:tmpl w:val="8A2A2AD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23E6395"/>
    <w:multiLevelType w:val="singleLevel"/>
    <w:tmpl w:val="F23E639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6D40DC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5AA0693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1294</Characters>
  <Lines>18</Lines>
  <Paragraphs>5</Paragraphs>
  <TotalTime>0</TotalTime>
  <ScaleCrop>false</ScaleCrop>
  <LinksUpToDate>false</LinksUpToDate>
  <CharactersWithSpaces>1294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2022-02-22T01:58:00Z</cp:lastPrinted>
  <dcterms:modified xsi:type="dcterms:W3CDTF">2022-08-08T03:22:14Z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0F67B73687EE4C24A71CD3CCF518BCDA</vt:lpwstr>
  </property>
</Properties>
</file>