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评标办法</w:t>
      </w:r>
    </w:p>
    <w:p>
      <w:pPr>
        <w:spacing w:line="2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本次评标采用综合评分法，满分为100分，其中</w:t>
      </w:r>
      <w:r>
        <w:rPr>
          <w:rFonts w:hint="eastAsia" w:ascii="Times New Roman" w:hAnsi="Times New Roman" w:eastAsia="仿宋_GB2312"/>
          <w:sz w:val="32"/>
          <w:szCs w:val="32"/>
        </w:rPr>
        <w:t>商务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技术</w:t>
      </w:r>
      <w:r>
        <w:rPr>
          <w:rFonts w:ascii="Times New Roman" w:hAnsi="Times New Roman" w:eastAsia="仿宋_GB2312"/>
          <w:sz w:val="32"/>
          <w:szCs w:val="32"/>
        </w:rPr>
        <w:t>得分总分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0分，</w:t>
      </w:r>
      <w:r>
        <w:rPr>
          <w:rFonts w:hint="eastAsia" w:ascii="Times New Roman" w:hAnsi="Times New Roman" w:eastAsia="仿宋_GB2312"/>
          <w:sz w:val="32"/>
          <w:szCs w:val="32"/>
        </w:rPr>
        <w:t>商务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技术</w:t>
      </w:r>
      <w:r>
        <w:rPr>
          <w:rFonts w:ascii="Times New Roman" w:hAnsi="Times New Roman" w:eastAsia="仿宋_GB2312"/>
          <w:sz w:val="32"/>
          <w:szCs w:val="32"/>
        </w:rPr>
        <w:t>分权重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0%；价格分总分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0分，价格分权重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0%。项目采购商对满足招标文件实质性要求的投标文件，按照本附件规定的评分标准进行打分，并按总得分由高到低顺序排列，得分前两名供应商推荐为中标候选人，综合评分相等的，以</w:t>
      </w:r>
      <w:r>
        <w:rPr>
          <w:rFonts w:hint="eastAsia" w:ascii="Times New Roman" w:hAnsi="Times New Roman" w:eastAsia="仿宋_GB2312"/>
          <w:sz w:val="32"/>
          <w:szCs w:val="32"/>
        </w:rPr>
        <w:t>价格</w:t>
      </w:r>
      <w:r>
        <w:rPr>
          <w:rFonts w:ascii="Times New Roman" w:hAnsi="Times New Roman" w:eastAsia="仿宋_GB2312"/>
          <w:sz w:val="32"/>
          <w:szCs w:val="32"/>
        </w:rPr>
        <w:t>得分高的优先。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投标人总得分=</w:t>
      </w:r>
      <w:r>
        <w:rPr>
          <w:rFonts w:hint="eastAsia" w:ascii="Times New Roman" w:hAnsi="Times New Roman" w:eastAsia="仿宋_GB2312"/>
          <w:sz w:val="32"/>
          <w:szCs w:val="32"/>
        </w:rPr>
        <w:t>商务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技术</w:t>
      </w:r>
      <w:r>
        <w:rPr>
          <w:rFonts w:ascii="Times New Roman" w:hAnsi="Times New Roman" w:eastAsia="仿宋_GB2312"/>
          <w:sz w:val="32"/>
          <w:szCs w:val="32"/>
        </w:rPr>
        <w:t>标得分+报价得分</w:t>
      </w:r>
    </w:p>
    <w:p>
      <w:pPr>
        <w:spacing w:line="240" w:lineRule="auto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商务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技术</w:t>
      </w:r>
      <w:r>
        <w:rPr>
          <w:rFonts w:ascii="Times New Roman" w:hAnsi="Times New Roman" w:eastAsia="仿宋_GB2312"/>
          <w:sz w:val="32"/>
          <w:szCs w:val="32"/>
        </w:rPr>
        <w:t>标得分评审表</w:t>
      </w:r>
    </w:p>
    <w:tbl>
      <w:tblPr>
        <w:tblStyle w:val="4"/>
        <w:tblW w:w="9180" w:type="dxa"/>
        <w:tblInd w:w="-2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1378"/>
        <w:gridCol w:w="840"/>
        <w:gridCol w:w="5235"/>
        <w:gridCol w:w="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评审内容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分值</w:t>
            </w:r>
          </w:p>
        </w:tc>
        <w:tc>
          <w:tcPr>
            <w:tcW w:w="5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评分标准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4" w:hRule="atLeast"/>
        </w:trPr>
        <w:tc>
          <w:tcPr>
            <w:tcW w:w="8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供应商资质能力</w:t>
            </w:r>
          </w:p>
        </w:tc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0分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1.依法成立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年（含）以上，内部管理规范，风险控制制度健全，执业水准高，社会信誉良好，得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具有健全的财务会计制度和财务状况报告，得2.5分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；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具有依法缴纳税收和社会保障资金的良好记录证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明资料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最近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年无违反职业道德和执业纪律等不良记录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的证明资料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分。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根据报价文件判断，如有则计分，不达条件不计分。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8" w:hRule="atLeast"/>
        </w:trPr>
        <w:tc>
          <w:tcPr>
            <w:tcW w:w="8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服务方案</w:t>
            </w:r>
          </w:p>
        </w:tc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分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1.对各项服务内容的阐述全面、合理，具有深度的思考，工作步骤完整，总体思路十分清晰、合理，得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0分；</w:t>
            </w:r>
          </w:p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2.对各项服务内容的阐述基本全面、合理，具有一定的思考，工作步骤完整，总体思路较为清晰、合理，得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0分；</w:t>
            </w:r>
          </w:p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3.对各项服务内容的阐述基本片面，工作步骤较完整，总体思路一般，得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0分。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依据报价文件中的服务方案给与对应的分数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8" w:type="dxa"/>
            <w:vMerge w:val="restart"/>
            <w:tcBorders>
              <w:left w:val="nil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服务经验</w:t>
            </w:r>
          </w:p>
        </w:tc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具有与职能局合作的管理经验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，每提供一项得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分，最高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具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与专家服务、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安全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生物医药等相关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服务或管理经验，每提供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一项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分，最高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总计</w:t>
            </w:r>
          </w:p>
        </w:tc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70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分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 （二）报价评分</w:t>
      </w:r>
    </w:p>
    <w:tbl>
      <w:tblPr>
        <w:tblStyle w:val="4"/>
        <w:tblW w:w="9195" w:type="dxa"/>
        <w:tblInd w:w="-2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410"/>
        <w:gridCol w:w="840"/>
        <w:gridCol w:w="5220"/>
        <w:gridCol w:w="9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评审内容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分值</w:t>
            </w:r>
          </w:p>
        </w:tc>
        <w:tc>
          <w:tcPr>
            <w:tcW w:w="5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评审标准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7" w:hRule="atLeast"/>
        </w:trPr>
        <w:tc>
          <w:tcPr>
            <w:tcW w:w="81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价格分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分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　</w:t>
            </w:r>
            <w:r>
              <w:rPr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评审小组对入围的供应商的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所报的固定费用进行评审，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采用低价优先法计算，即满足招标文件要求（通过资格、符合性评审）且价格最低的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固定费用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有效报价为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固定费用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基准价，其价格分为满分。其他供应商的价格分统一按照下列公式计算：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得分=（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固定费用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基准价/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固定费用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报价）× 价格权值× 100（精确到0.01）。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9" w:hRule="atLeast"/>
        </w:trPr>
        <w:tc>
          <w:tcPr>
            <w:tcW w:w="8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评审小组对入围的供应商的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所报机动费用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单价、整体使用计划等内容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的进行评审，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并进行综合评分。</w:t>
            </w:r>
          </w:p>
          <w:p>
            <w:pPr>
              <w:pStyle w:val="2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总分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0分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66D41"/>
    <w:rsid w:val="02EC2FDA"/>
    <w:rsid w:val="147E780B"/>
    <w:rsid w:val="165F5468"/>
    <w:rsid w:val="1A2326ED"/>
    <w:rsid w:val="1A455925"/>
    <w:rsid w:val="1D5C4DBD"/>
    <w:rsid w:val="2B645651"/>
    <w:rsid w:val="2C9B6F0A"/>
    <w:rsid w:val="30AA2399"/>
    <w:rsid w:val="31562753"/>
    <w:rsid w:val="31BB6899"/>
    <w:rsid w:val="392223C3"/>
    <w:rsid w:val="3BFA1D6B"/>
    <w:rsid w:val="3E497F3B"/>
    <w:rsid w:val="41B91B67"/>
    <w:rsid w:val="4FF66D41"/>
    <w:rsid w:val="52E467E6"/>
    <w:rsid w:val="601F04EB"/>
    <w:rsid w:val="696B5789"/>
    <w:rsid w:val="756418DE"/>
    <w:rsid w:val="7AD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2022-08-17T06:38:00Z</dcterms:created>
  <dc:creator>QQQQQ㎡</dc:creator>
  <cp:lastModifiedBy>QQQQQ㎡</cp:lastModifiedBy>
  <dcterms:modified xsi:type="dcterms:W3CDTF">2022-08-17T06:39:18Z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