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widowControl w:val="0"/>
        <w:numPr>
          <w:ilvl w:val="0"/>
          <w:numId w:val="0"/>
        </w:numPr>
        <w:tabs>
          <w:tab w:val="left" w:pos="0"/>
          <w:tab w:val="left" w:pos="394"/>
          <w:tab w:val="center" w:pos="4957"/>
        </w:tabs>
        <w:kinsoku/>
        <w:wordWrap/>
        <w:overflowPunct/>
        <w:topLinePunct w:val="0"/>
        <w:autoSpaceDE w:val="0"/>
        <w:autoSpaceDN w:val="0"/>
        <w:bidi w:val="0"/>
        <w:adjustRightInd w:val="0"/>
        <w:snapToGrid/>
        <w:spacing w:before="0" w:after="0" w:line="360" w:lineRule="auto"/>
        <w:ind w:right="-441" w:rightChars="-210"/>
        <w:jc w:val="both"/>
        <w:textAlignment w:val="auto"/>
        <w:rPr>
          <w:rFonts w:hint="eastAsia" w:ascii="方正小标宋_GBK" w:hAnsi="方正小标宋_GBK" w:eastAsia="方正小标宋_GBK" w:cs="方正小标宋_GBK"/>
          <w:b w:val="0"/>
          <w:bCs w:val="0"/>
          <w:kern w:val="2"/>
          <w:sz w:val="32"/>
          <w:szCs w:val="32"/>
          <w:lang w:val="en-US" w:eastAsia="zh-CN"/>
        </w:rPr>
      </w:pPr>
      <w:r>
        <w:rPr>
          <w:rFonts w:hint="eastAsia" w:ascii="方正小标宋_GBK" w:hAnsi="方正小标宋_GBK" w:eastAsia="方正小标宋_GBK" w:cs="方正小标宋_GBK"/>
          <w:b w:val="0"/>
          <w:bCs w:val="0"/>
          <w:kern w:val="2"/>
          <w:sz w:val="32"/>
          <w:szCs w:val="32"/>
          <w:lang w:val="en-US" w:eastAsia="zh-CN"/>
        </w:rPr>
        <w:t>附件：</w:t>
      </w:r>
      <w:r>
        <w:rPr>
          <w:rFonts w:hint="eastAsia" w:ascii="方正小标宋_GBK" w:hAnsi="方正小标宋_GBK" w:eastAsia="方正小标宋_GBK" w:cs="方正小标宋_GBK"/>
          <w:b w:val="0"/>
          <w:bCs w:val="0"/>
          <w:kern w:val="2"/>
          <w:sz w:val="44"/>
          <w:szCs w:val="44"/>
          <w:lang w:val="en-US" w:eastAsia="zh-CN"/>
        </w:rPr>
        <w:tab/>
      </w:r>
      <w:r>
        <w:rPr>
          <w:rFonts w:hint="eastAsia" w:ascii="方正小标宋_GBK" w:hAnsi="方正小标宋_GBK" w:eastAsia="方正小标宋_GBK" w:cs="方正小标宋_GBK"/>
          <w:b w:val="0"/>
          <w:bCs w:val="0"/>
          <w:kern w:val="2"/>
          <w:sz w:val="32"/>
          <w:szCs w:val="32"/>
          <w:lang w:val="en-US" w:eastAsia="zh-CN"/>
        </w:rPr>
        <w:t>采购需求书</w:t>
      </w:r>
    </w:p>
    <w:tbl>
      <w:tblPr>
        <w:tblStyle w:val="11"/>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1968"/>
        <w:gridCol w:w="6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体检项目表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身高 体重 血压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内科检查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胸部、心率、心律、心音、心界、肺、腹部、肝胆脾肾、肠鸣音、神经系统、其他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外科一般检查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浅表淋巴结，甲状腺、乳房、脊柱、四肢、前列腺、皮肤等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眼底照相</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（先进AI人工智能分析）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视盘发育异常</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视神经疾病</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视网膜出血</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视网膜出血≥1/4视盘面积急性视神经炎</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豹纹状眼底</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黄斑病变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视网膜玻璃膜疣</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视网膜增殖膜</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视网膜裂孔</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视网膜脱离</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视网膜血管病变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视网膜血管硬化</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视网膜病变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视网膜静脉阻塞</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视网膜动脉栓塞</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急性缺血性视网膜病变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玻璃体病变</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玻璃体积血</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视杯扩大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视力+色觉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视力、辩色力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妇科常规检查（女已婚）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妇科检查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白带常规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妇科液基细胞学检测（LCT）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胸部正位（DR）</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肝胆胰脾彩超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肝胆胰脾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泌尿系彩超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双肾、输尿管、膀胱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前列腺彩超（男）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前列腺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女性盆腔彩超（女）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子宫、附件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乳腺彩超（女）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双侧乳房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甲状腺彩超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甲状腺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颈动脉彩超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颈动脉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全血细胞计数+5分类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白细胞计数(WBC)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红细胞计数(RBC)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血红蛋白测定(Hb)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红细胞压积测定 (HCT)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红细胞平均体积（MCV）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平均血红蛋白含量（MCH）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平均血红蛋白浓度（MCHC）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血小板计数（PLT）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中性粒细胞百分数（NEUT%）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中性粒细胞绝对值（NEUT）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淋巴细胞百分数（LYM%）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淋巴细胞绝对值（LYM）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单核细胞百分数（MON%）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单核细胞绝对值（MON)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嗜酸性粒细胞百分数（EO%）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嗜酸性粒细胞绝对值（EO）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嗜碱性粒细胞百分数（BASO%）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嗜碱性粒细胞绝对值（BASO）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红细胞分布宽度-标准差（RDW-SD）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红细胞分布宽度-变异系数（RDW-CV）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血小板分布宽度（PDW）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平均血小板体积（MPV）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血小板压积（PCT）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尿液干化学分析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白细胞(LEU)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酮体(KET)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亚硝酸盐(NIT)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尿胆原(UBG)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胆红素(BIL)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蛋白质(PRO)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葡萄糖(GLU)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比重(SG)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红细胞（RBC）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酸碱度(PH)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维生素C(VC)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白细胞（镜检）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红细胞（镜检）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尿结晶（镜检）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尿管型（镜检）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肝功11项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血清丙氨酸氨基转移酶测定(ALT)、血清天门冬氨酸氨基转移酶测定(AST) 、血清γ-谷氨酰基转移酶测定（γ-GT)、血清碱性磷酸酶测定(ALP)、 血清总胆红素测定(T-Bil)、血清直接胆红素测定(D-Bil)（结合胆红素）、血清间接胆红素(I-Bil)（计算值）（非结合胆红素）、血清总蛋白测定(TP)、血清白蛋白测定(Alb)、血清球蛋白（计算值）、白蛋白/球蛋白（计算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血脂4项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总胆固醇（TCHO）、甘油三酯（TG）、 高密度脂蛋白胆固醇（HDL-C）、低密度脂蛋白胆固醇（LDL-C）、总胆固醇/高密度脂蛋白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心肌酶4项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乳酸脱氢酶（LDH）、肌酸激酶（CK）、肌酸激酶同工酶（CK-MB）、α-羟丁酸脱氢酶（α-HBDH）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肾功能3项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血清尿素测定(Urea)、    血清肌酐测定(CREA)、血清尿酸测定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空腹血糖(GLU)</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空腹血糖(GLU)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脂联素</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脂联素测定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EB病毒抗体</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EB病毒抗体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恶性肿瘤特异性生长因子（TSGF）</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与恶性肿瘤增殖有关的广谱肿瘤标志物，对恶性肿瘤的早期筛查及诊断治疗有重要意义。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甲胎蛋白测定 (AFP)定量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甲胎蛋白（AFP）：原发性肝癌的诊断，疗效预后检测。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癌胚抗原测定(CEA)定量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癌胚抗原（CEA）：乳腺、肺、胃、结肠、直肠及胰胆肿瘤等诊断和治疗，复发监测，判断预后。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前列腺特异性抗原（T-PSA）（发光法）（男）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总前列腺特异性抗原测定(TPSA)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糖链抗原CA19-9测定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CA19-9：胰腺癌、胆道恶性肿瘤及胃癌、结肠癌、肝癌的辅助诊断。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糖链抗原CA15-3测定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CA15-3：诊断乳腺癌和转移乳腺癌，辅助诊断卵巢癌、肺癌。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鳞状细胞癌相关抗原测定（SCC）（男）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SCC：肺磷癌，子宫颈癌，食道癌，肛门、皮肤、口腔癌等磷状上皮细胞癌的诊断鉴别。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糖链抗原CA125测定（女）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CA125：卵巢、子宫内膜、肝、肺、结直肠、胃癌的诊断和治疗监测。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人附睾分泌蛋白（HE4）（女）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HE-4：经美国FDA批准用于卵巢癌早期诊断的新型标志物，可与CA125联合检测提高卵巢癌筛查的敏感性和特异性，并可用于盆腔包块患者的风险评估。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抗幽门螺杆菌抗体测定(HP)（定量）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抗幽门螺杆菌抗体测定(HP)（定量）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动脉硬化检测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动脉硬化检测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骨密度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骨密度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头部TMT检查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早期肾损伤简易套餐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尿微量白蛋白（mALB）、尿肌酐（CRE）、ACR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静脉采血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免费早餐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多品种早点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汇总分析</w:t>
            </w:r>
          </w:p>
        </w:tc>
      </w:tr>
    </w:tbl>
    <w:p>
      <w:pPr>
        <w:numPr>
          <w:ilvl w:val="0"/>
          <w:numId w:val="0"/>
        </w:numPr>
        <w:rPr>
          <w:rFonts w:hint="default"/>
          <w:lang w:val="en-US" w:eastAsia="zh-CN"/>
        </w:rPr>
      </w:pPr>
    </w:p>
    <w:p>
      <w:pPr>
        <w:pStyle w:val="2"/>
      </w:pPr>
    </w:p>
    <w:p>
      <w:pPr>
        <w:pStyle w:val="2"/>
      </w:pPr>
    </w:p>
    <w:p>
      <w:pPr>
        <w:pStyle w:val="2"/>
      </w:pPr>
    </w:p>
    <w:p>
      <w:pPr>
        <w:pStyle w:val="2"/>
      </w:pP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rPr>
          <w:rFonts w:hint="eastAsia" w:ascii="仿宋_GB2312" w:hAnsi="仿宋_GB2312" w:eastAsia="仿宋_GB2312" w:cs="仿宋_GB2312"/>
          <w:color w:val="FF0000"/>
          <w:sz w:val="32"/>
          <w:szCs w:val="32"/>
        </w:rPr>
      </w:pPr>
    </w:p>
    <w:p>
      <w:pPr>
        <w:pStyle w:val="10"/>
        <w:rPr>
          <w:rFonts w:hint="eastAsia" w:ascii="仿宋_GB2312" w:hAnsi="仿宋_GB2312" w:eastAsia="仿宋_GB2312" w:cs="仿宋_GB2312"/>
          <w:color w:val="FF0000"/>
          <w:sz w:val="32"/>
          <w:szCs w:val="32"/>
        </w:rPr>
      </w:pPr>
    </w:p>
    <w:p>
      <w:pPr>
        <w:pStyle w:val="4"/>
        <w:spacing w:line="240" w:lineRule="auto"/>
        <w:rPr>
          <w:rFonts w:hint="eastAsia"/>
        </w:rPr>
      </w:pPr>
      <w:bookmarkStart w:id="0" w:name="_Toc14064"/>
      <w:bookmarkStart w:id="1" w:name="_Toc334795480"/>
      <w:r>
        <w:rPr>
          <w:rFonts w:hint="eastAsia"/>
        </w:rPr>
        <w:t xml:space="preserve">附表                </w:t>
      </w:r>
    </w:p>
    <w:p>
      <w:pPr>
        <w:pStyle w:val="4"/>
        <w:spacing w:line="240" w:lineRule="auto"/>
        <w:jc w:val="center"/>
        <w:rPr>
          <w:rFonts w:hint="eastAsia"/>
        </w:rPr>
      </w:pPr>
      <w:r>
        <w:rPr>
          <w:rFonts w:hint="eastAsia"/>
        </w:rPr>
        <w:t>资格审查表</w:t>
      </w:r>
      <w:bookmarkEnd w:id="0"/>
    </w:p>
    <w:tbl>
      <w:tblPr>
        <w:tblStyle w:val="11"/>
        <w:tblW w:w="9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0"/>
        <w:gridCol w:w="1095"/>
        <w:gridCol w:w="100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670" w:type="dxa"/>
            <w:vMerge w:val="restart"/>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评审内容</w:t>
            </w:r>
          </w:p>
        </w:tc>
        <w:tc>
          <w:tcPr>
            <w:tcW w:w="3225" w:type="dxa"/>
            <w:gridSpan w:val="3"/>
            <w:noWrap w:val="0"/>
            <w:vAlign w:val="center"/>
          </w:tcPr>
          <w:p>
            <w:pPr>
              <w:spacing w:line="360" w:lineRule="auto"/>
              <w:jc w:val="center"/>
              <w:rPr>
                <w:rFonts w:hint="eastAsia" w:ascii="宋体" w:hAnsi="宋体" w:cs="宋体"/>
                <w:color w:val="000000"/>
                <w:szCs w:val="21"/>
              </w:rPr>
            </w:pPr>
            <w:r>
              <w:rPr>
                <w:rFonts w:hint="eastAsia" w:hAnsi="宋体" w:cs="宋体"/>
                <w:color w:val="000000"/>
                <w:szCs w:val="21"/>
                <w:lang w:eastAsia="zh-CN"/>
              </w:rPr>
              <w:t>报价人</w:t>
            </w:r>
            <w:r>
              <w:rPr>
                <w:rFonts w:hint="eastAsia" w:ascii="宋体" w:hAnsi="宋体" w:cs="宋体"/>
                <w:color w:val="000000"/>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670" w:type="dxa"/>
            <w:vMerge w:val="continue"/>
            <w:noWrap w:val="0"/>
            <w:vAlign w:val="center"/>
          </w:tcPr>
          <w:p>
            <w:pPr>
              <w:spacing w:line="360" w:lineRule="auto"/>
              <w:rPr>
                <w:rFonts w:hint="eastAsia" w:ascii="宋体" w:hAnsi="宋体" w:cs="宋体"/>
                <w:color w:val="000000"/>
                <w:szCs w:val="21"/>
              </w:rPr>
            </w:pPr>
          </w:p>
        </w:tc>
        <w:tc>
          <w:tcPr>
            <w:tcW w:w="1095" w:type="dxa"/>
            <w:noWrap w:val="0"/>
            <w:vAlign w:val="center"/>
          </w:tcPr>
          <w:p>
            <w:pPr>
              <w:spacing w:line="360" w:lineRule="auto"/>
              <w:jc w:val="center"/>
              <w:rPr>
                <w:rFonts w:hint="eastAsia" w:ascii="宋体" w:hAnsi="宋体" w:cs="宋体"/>
                <w:color w:val="000000"/>
                <w:szCs w:val="21"/>
              </w:rPr>
            </w:pPr>
            <w:r>
              <w:rPr>
                <w:rFonts w:hint="eastAsia" w:hAnsi="宋体" w:cs="宋体"/>
                <w:color w:val="000000"/>
                <w:szCs w:val="21"/>
                <w:lang w:eastAsia="zh-CN"/>
              </w:rPr>
              <w:t>报价人</w:t>
            </w:r>
            <w:r>
              <w:rPr>
                <w:rFonts w:hint="eastAsia" w:ascii="宋体" w:hAnsi="宋体" w:cs="宋体"/>
                <w:color w:val="000000"/>
                <w:szCs w:val="21"/>
              </w:rPr>
              <w:t>A</w:t>
            </w:r>
          </w:p>
        </w:tc>
        <w:tc>
          <w:tcPr>
            <w:tcW w:w="1005" w:type="dxa"/>
            <w:noWrap w:val="0"/>
            <w:vAlign w:val="center"/>
          </w:tcPr>
          <w:p>
            <w:pPr>
              <w:spacing w:line="360" w:lineRule="auto"/>
              <w:jc w:val="center"/>
              <w:rPr>
                <w:rFonts w:hint="eastAsia" w:ascii="宋体" w:hAnsi="宋体" w:cs="宋体"/>
                <w:color w:val="000000"/>
                <w:szCs w:val="21"/>
              </w:rPr>
            </w:pPr>
            <w:r>
              <w:rPr>
                <w:rFonts w:hint="eastAsia" w:hAnsi="宋体" w:cs="宋体"/>
                <w:color w:val="000000"/>
                <w:szCs w:val="21"/>
                <w:lang w:eastAsia="zh-CN"/>
              </w:rPr>
              <w:t>报价人</w:t>
            </w:r>
            <w:r>
              <w:rPr>
                <w:rFonts w:hint="eastAsia" w:ascii="宋体" w:hAnsi="宋体" w:cs="宋体"/>
                <w:color w:val="000000"/>
                <w:szCs w:val="21"/>
              </w:rPr>
              <w:t>B</w:t>
            </w:r>
          </w:p>
        </w:tc>
        <w:tc>
          <w:tcPr>
            <w:tcW w:w="1125" w:type="dxa"/>
            <w:noWrap w:val="0"/>
            <w:vAlign w:val="center"/>
          </w:tcPr>
          <w:p>
            <w:pPr>
              <w:spacing w:line="360" w:lineRule="auto"/>
              <w:jc w:val="center"/>
              <w:rPr>
                <w:rFonts w:hint="eastAsia" w:ascii="宋体" w:hAnsi="宋体" w:cs="宋体"/>
                <w:color w:val="000000"/>
                <w:szCs w:val="21"/>
              </w:rPr>
            </w:pPr>
            <w:r>
              <w:rPr>
                <w:rFonts w:hint="eastAsia" w:hAnsi="宋体" w:cs="宋体"/>
                <w:color w:val="000000"/>
                <w:szCs w:val="21"/>
                <w:lang w:eastAsia="zh-CN"/>
              </w:rPr>
              <w:t>报价人</w:t>
            </w:r>
            <w:r>
              <w:rPr>
                <w:rFonts w:hint="eastAsia" w:ascii="宋体" w:hAnsi="宋体" w:cs="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ascii="宋体"/>
                <w:szCs w:val="21"/>
                <w:lang w:val="en-US" w:eastAsia="zh-CN"/>
              </w:rPr>
              <w:t>1.</w:t>
            </w:r>
            <w:r>
              <w:rPr>
                <w:rFonts w:hint="eastAsia" w:ascii="宋体"/>
                <w:szCs w:val="21"/>
              </w:rPr>
              <w:t>报价人必须为具备本项目履约能力的在中华人民共和国境内注册的独立的企业法人，同时持有工商行政管理部门核发的营业执照，并提供营业执照的复印件。</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670" w:type="dxa"/>
            <w:noWrap w:val="0"/>
            <w:vAlign w:val="center"/>
          </w:tcPr>
          <w:p>
            <w:pPr>
              <w:numPr>
                <w:ilvl w:val="0"/>
                <w:numId w:val="0"/>
              </w:numPr>
              <w:spacing w:line="360" w:lineRule="auto"/>
              <w:rPr>
                <w:rFonts w:hint="default" w:ascii="宋体" w:hAnsi="宋体" w:eastAsia="宋体" w:cs="宋体"/>
                <w:szCs w:val="21"/>
                <w:lang w:val="en-US" w:eastAsia="zh-CN"/>
              </w:rPr>
            </w:pPr>
            <w:r>
              <w:rPr>
                <w:rFonts w:hint="eastAsia" w:ascii="宋体" w:hAnsi="宋体" w:cs="宋体"/>
                <w:szCs w:val="21"/>
                <w:lang w:val="en-US" w:eastAsia="zh-CN"/>
              </w:rPr>
              <w:t>2.</w:t>
            </w:r>
            <w:r>
              <w:rPr>
                <w:rFonts w:hint="eastAsia" w:ascii="宋体"/>
                <w:color w:val="000000"/>
                <w:szCs w:val="21"/>
              </w:rPr>
              <w:t>报价人具有</w:t>
            </w:r>
            <w:r>
              <w:rPr>
                <w:rFonts w:hint="eastAsia" w:ascii="宋体" w:hAnsi="宋体"/>
                <w:color w:val="000000"/>
              </w:rPr>
              <w:t>增</w:t>
            </w:r>
            <w:r>
              <w:rPr>
                <w:rFonts w:ascii="宋体" w:hAnsi="宋体"/>
                <w:color w:val="000000"/>
              </w:rPr>
              <w:t>值税一般纳税人</w:t>
            </w:r>
            <w:r>
              <w:rPr>
                <w:rFonts w:hint="eastAsia" w:ascii="宋体" w:hAnsi="宋体"/>
                <w:color w:val="000000"/>
              </w:rPr>
              <w:t>资格（需提供相应证明文件并加盖公章）。</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ascii="宋体"/>
                <w:szCs w:val="21"/>
                <w:highlight w:val="none"/>
                <w:lang w:val="en-US" w:eastAsia="zh-CN"/>
              </w:rPr>
              <w:t>3.报价人须为卫生行政部门批准从事健康检查的医疗卫生机构（需提供中华</w:t>
            </w:r>
            <w:bookmarkStart w:id="3" w:name="_GoBack"/>
            <w:bookmarkEnd w:id="3"/>
            <w:r>
              <w:rPr>
                <w:rFonts w:hint="eastAsia" w:ascii="宋体"/>
                <w:szCs w:val="21"/>
                <w:highlight w:val="none"/>
                <w:lang w:val="en-US" w:eastAsia="zh-CN"/>
              </w:rPr>
              <w:t>人民共和国医疗机构执业许可证）。</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670" w:type="dxa"/>
            <w:noWrap w:val="0"/>
            <w:vAlign w:val="center"/>
          </w:tcPr>
          <w:p>
            <w:pPr>
              <w:spacing w:line="360" w:lineRule="auto"/>
              <w:rPr>
                <w:rFonts w:hint="eastAsia" w:ascii="宋体" w:hAnsi="宋体" w:cs="宋体"/>
                <w:szCs w:val="21"/>
              </w:rPr>
            </w:pPr>
            <w:r>
              <w:rPr>
                <w:rFonts w:hint="eastAsia" w:ascii="宋体"/>
                <w:szCs w:val="21"/>
                <w:highlight w:val="none"/>
                <w:lang w:val="en-US" w:eastAsia="zh-CN"/>
              </w:rPr>
              <w:t>4.</w:t>
            </w:r>
            <w:r>
              <w:rPr>
                <w:rFonts w:hint="eastAsia" w:ascii="宋体"/>
                <w:szCs w:val="21"/>
                <w:highlight w:val="none"/>
              </w:rPr>
              <w:t>体检地点</w:t>
            </w:r>
            <w:r>
              <w:rPr>
                <w:rFonts w:hint="eastAsia" w:ascii="宋体"/>
                <w:szCs w:val="21"/>
                <w:highlight w:val="none"/>
                <w:lang w:val="en-US" w:eastAsia="zh-CN"/>
              </w:rPr>
              <w:t>须</w:t>
            </w:r>
            <w:r>
              <w:rPr>
                <w:rFonts w:hint="eastAsia" w:ascii="宋体"/>
                <w:szCs w:val="21"/>
                <w:highlight w:val="none"/>
              </w:rPr>
              <w:t>在广州市</w:t>
            </w:r>
            <w:r>
              <w:rPr>
                <w:rFonts w:hint="eastAsia" w:ascii="宋体"/>
                <w:szCs w:val="21"/>
                <w:highlight w:val="none"/>
                <w:lang w:val="en-US" w:eastAsia="zh-CN"/>
              </w:rPr>
              <w:t>区</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ascii="宋体"/>
                <w:szCs w:val="21"/>
                <w:highlight w:val="none"/>
                <w:lang w:val="en-US" w:eastAsia="zh-CN"/>
              </w:rPr>
              <w:t>5.报价人</w:t>
            </w:r>
            <w:r>
              <w:rPr>
                <w:rFonts w:hint="eastAsia" w:ascii="宋体"/>
                <w:szCs w:val="21"/>
                <w:highlight w:val="none"/>
              </w:rPr>
              <w:t>须要有CT等大型体检设备</w:t>
            </w:r>
            <w:r>
              <w:rPr>
                <w:rFonts w:hint="eastAsia" w:ascii="宋体"/>
                <w:szCs w:val="21"/>
                <w:highlight w:val="none"/>
                <w:lang w:eastAsia="zh-CN"/>
              </w:rPr>
              <w:t>（</w:t>
            </w:r>
            <w:r>
              <w:rPr>
                <w:rFonts w:hint="eastAsia" w:ascii="宋体"/>
                <w:szCs w:val="21"/>
                <w:highlight w:val="none"/>
                <w:lang w:val="en-US" w:eastAsia="zh-CN"/>
              </w:rPr>
              <w:t>需提供报价人的采购发票</w:t>
            </w:r>
            <w:r>
              <w:rPr>
                <w:rFonts w:hint="eastAsia" w:ascii="宋体"/>
                <w:szCs w:val="21"/>
                <w:highlight w:val="none"/>
                <w:lang w:eastAsia="zh-CN"/>
              </w:rPr>
              <w:t>）</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highlight w:val="none"/>
                <w:lang w:val="en-US" w:eastAsia="zh-CN"/>
              </w:rPr>
              <w:t>6.</w:t>
            </w:r>
            <w:r>
              <w:rPr>
                <w:rFonts w:hint="eastAsia"/>
                <w:highlight w:val="none"/>
              </w:rPr>
              <w:t>201</w:t>
            </w:r>
            <w:r>
              <w:rPr>
                <w:rFonts w:hint="eastAsia"/>
                <w:highlight w:val="none"/>
                <w:lang w:val="en-US" w:eastAsia="zh-CN"/>
              </w:rPr>
              <w:t>9</w:t>
            </w:r>
            <w:r>
              <w:rPr>
                <w:rFonts w:hint="eastAsia"/>
                <w:highlight w:val="none"/>
              </w:rPr>
              <w:t>年1月1日</w:t>
            </w:r>
            <w:r>
              <w:rPr>
                <w:rFonts w:hint="eastAsia"/>
              </w:rPr>
              <w:t>至今，报价人没有因腐败或欺诈行为而被政府或业主宣布取消</w:t>
            </w:r>
            <w:r>
              <w:rPr>
                <w:rFonts w:hint="eastAsia"/>
                <w:lang w:eastAsia="zh-CN"/>
              </w:rPr>
              <w:t>报价</w:t>
            </w:r>
            <w:r>
              <w:rPr>
                <w:rFonts w:hint="eastAsia"/>
              </w:rPr>
              <w:t>资格；同时，</w:t>
            </w:r>
            <w:r>
              <w:rPr>
                <w:rFonts w:hint="eastAsia"/>
                <w:highlight w:val="none"/>
              </w:rPr>
              <w:t>201</w:t>
            </w:r>
            <w:r>
              <w:rPr>
                <w:rFonts w:hint="eastAsia"/>
                <w:highlight w:val="none"/>
                <w:lang w:val="en-US" w:eastAsia="zh-CN"/>
              </w:rPr>
              <w:t>9</w:t>
            </w:r>
            <w:r>
              <w:rPr>
                <w:rFonts w:hint="eastAsia"/>
                <w:highlight w:val="none"/>
              </w:rPr>
              <w:t>年1月1日</w:t>
            </w:r>
            <w:r>
              <w:rPr>
                <w:rFonts w:hint="eastAsia"/>
              </w:rPr>
              <w:t>年至今报价人（包括其关联公司）与采购人无发生各种诉讼、仲裁和不良投诉（须就此项内容提供承诺函并加盖报价人公章）；</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lang w:val="en-US" w:eastAsia="zh-CN"/>
              </w:rPr>
              <w:t>7.</w:t>
            </w:r>
            <w:r>
              <w:rPr>
                <w:rFonts w:hint="eastAsia"/>
              </w:rPr>
              <w:t>报价人不得被列为“</w:t>
            </w:r>
            <w:r>
              <w:rPr>
                <w:rFonts w:hint="eastAsia"/>
                <w:lang w:val="en-US" w:eastAsia="zh-CN"/>
              </w:rPr>
              <w:t>失信惩戒</w:t>
            </w:r>
            <w:r>
              <w:rPr>
                <w:rFonts w:hint="eastAsia"/>
              </w:rPr>
              <w:t>”，以“信用中国”网站（www.creditchina.gov.cn）查询为准，报价人需在采购公告发布后按采购文件给定的格式要求从“信用中国”网站截图</w:t>
            </w:r>
            <w:r>
              <w:rPr>
                <w:rFonts w:hint="eastAsia"/>
                <w:lang w:eastAsia="zh-CN"/>
              </w:rPr>
              <w:t>；</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lang w:val="en-US" w:eastAsia="zh-CN"/>
              </w:rPr>
              <w:t>8.</w:t>
            </w:r>
            <w:r>
              <w:rPr>
                <w:rFonts w:hint="eastAsia"/>
              </w:rPr>
              <w:t>报价人不得被列为严重违法失信企业名单（黑名单），以“国家企业信用信息公示系统”网站（www.gsxt.gov.cn）查询为准，报价人需在采购公告发布后从“国家企业信用信息公示系统”网站截图并加盖公章；</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lang w:val="en-US" w:eastAsia="zh-CN"/>
              </w:rPr>
              <w:t>9.</w:t>
            </w:r>
            <w:r>
              <w:rPr>
                <w:rFonts w:hint="eastAsia"/>
              </w:rPr>
              <w:t>报价人不得被列入中国执行信息公开（http://zxgk.court.gov.cn/）的全国法院失信被执行人名单，报价人需在竞价公告发布后从“中国执行信息公开网”网站截图并加盖公章；</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670" w:type="dxa"/>
            <w:noWrap w:val="0"/>
            <w:vAlign w:val="center"/>
          </w:tcPr>
          <w:p>
            <w:pPr>
              <w:spacing w:line="360" w:lineRule="auto"/>
              <w:rPr>
                <w:rFonts w:hint="eastAsia" w:ascii="宋体" w:hAnsi="宋体" w:cs="宋体"/>
                <w:szCs w:val="21"/>
              </w:rPr>
            </w:pPr>
            <w:r>
              <w:rPr>
                <w:rFonts w:hint="eastAsia"/>
                <w:szCs w:val="21"/>
                <w:lang w:val="en-US" w:eastAsia="zh-CN"/>
              </w:rPr>
              <w:t>10.</w:t>
            </w:r>
            <w:r>
              <w:rPr>
                <w:szCs w:val="21"/>
              </w:rPr>
              <w:t>具有良好的商业信誉和健全的财务会计制度；</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6670" w:type="dxa"/>
            <w:noWrap w:val="0"/>
            <w:vAlign w:val="center"/>
          </w:tcPr>
          <w:p>
            <w:pPr>
              <w:pStyle w:val="6"/>
              <w:ind w:left="0" w:leftChars="0" w:firstLine="0" w:firstLineChars="0"/>
              <w:rPr>
                <w:rFonts w:hint="eastAsia" w:ascii="宋体" w:hAnsi="宋体" w:cs="宋体"/>
                <w:szCs w:val="21"/>
              </w:rPr>
            </w:pPr>
            <w:r>
              <w:rPr>
                <w:rFonts w:hint="eastAsia"/>
                <w:szCs w:val="21"/>
                <w:lang w:val="en-US" w:eastAsia="zh-CN"/>
              </w:rPr>
              <w:t>11.</w:t>
            </w:r>
            <w:r>
              <w:rPr>
                <w:szCs w:val="21"/>
              </w:rPr>
              <w:t>有依法缴纳税收和社会保障资金的良好记录</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lang w:val="en-US" w:eastAsia="zh-CN"/>
              </w:rPr>
              <w:t>12.</w:t>
            </w:r>
            <w:r>
              <w:rPr>
                <w:rFonts w:hint="eastAsia"/>
              </w:rPr>
              <w:t>报价人法定代表人为同一人的两个及两个以上法人，母公司、全资子公司及其控股公司，都不得在该项目中同时报价。</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6670" w:type="dxa"/>
            <w:noWrap w:val="0"/>
            <w:vAlign w:val="center"/>
          </w:tcPr>
          <w:p>
            <w:pPr>
              <w:numPr>
                <w:ilvl w:val="0"/>
                <w:numId w:val="0"/>
              </w:numPr>
              <w:spacing w:line="360" w:lineRule="auto"/>
              <w:rPr>
                <w:rFonts w:hint="eastAsia" w:ascii="宋体" w:hAnsi="宋体" w:cs="宋体"/>
                <w:szCs w:val="21"/>
              </w:rPr>
            </w:pPr>
            <w:r>
              <w:rPr>
                <w:rFonts w:hint="eastAsia"/>
                <w:lang w:val="en-US" w:eastAsia="zh-CN"/>
              </w:rPr>
              <w:t>13.</w:t>
            </w:r>
            <w:r>
              <w:rPr>
                <w:rFonts w:hint="eastAsia" w:ascii="宋体"/>
                <w:szCs w:val="21"/>
                <w:highlight w:val="none"/>
              </w:rPr>
              <w:t>本项目不接受联合体报价</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670" w:type="dxa"/>
            <w:noWrap w:val="0"/>
            <w:vAlign w:val="center"/>
          </w:tcPr>
          <w:p>
            <w:pPr>
              <w:spacing w:line="360" w:lineRule="auto"/>
              <w:jc w:val="center"/>
              <w:rPr>
                <w:rFonts w:hint="eastAsia" w:ascii="宋体" w:hAnsi="宋体" w:cs="宋体"/>
                <w:szCs w:val="21"/>
              </w:rPr>
            </w:pPr>
            <w:r>
              <w:rPr>
                <w:rFonts w:hint="eastAsia" w:ascii="宋体" w:hAnsi="宋体" w:cs="宋体"/>
                <w:szCs w:val="21"/>
              </w:rPr>
              <w:t>结论</w:t>
            </w:r>
          </w:p>
        </w:tc>
        <w:tc>
          <w:tcPr>
            <w:tcW w:w="1095" w:type="dxa"/>
            <w:noWrap w:val="0"/>
            <w:vAlign w:val="center"/>
          </w:tcPr>
          <w:p>
            <w:pPr>
              <w:spacing w:line="360" w:lineRule="auto"/>
              <w:rPr>
                <w:rFonts w:hint="eastAsia" w:ascii="宋体" w:hAnsi="宋体" w:cs="宋体"/>
                <w:szCs w:val="21"/>
              </w:rPr>
            </w:pPr>
          </w:p>
        </w:tc>
        <w:tc>
          <w:tcPr>
            <w:tcW w:w="1005" w:type="dxa"/>
            <w:noWrap w:val="0"/>
            <w:vAlign w:val="center"/>
          </w:tcPr>
          <w:p>
            <w:pPr>
              <w:spacing w:line="360" w:lineRule="auto"/>
              <w:rPr>
                <w:rFonts w:hint="eastAsia" w:ascii="宋体" w:hAnsi="宋体" w:cs="宋体"/>
                <w:szCs w:val="21"/>
              </w:rPr>
            </w:pPr>
          </w:p>
        </w:tc>
        <w:tc>
          <w:tcPr>
            <w:tcW w:w="1125" w:type="dxa"/>
            <w:noWrap w:val="0"/>
            <w:vAlign w:val="center"/>
          </w:tcPr>
          <w:p>
            <w:pPr>
              <w:spacing w:line="360" w:lineRule="auto"/>
              <w:rPr>
                <w:rFonts w:hint="eastAsia" w:ascii="宋体" w:hAnsi="宋体" w:cs="宋体"/>
                <w:szCs w:val="21"/>
              </w:rPr>
            </w:pPr>
          </w:p>
        </w:tc>
      </w:tr>
    </w:tbl>
    <w:p>
      <w:pPr>
        <w:rPr>
          <w:rFonts w:hint="eastAsia"/>
        </w:rPr>
        <w:sectPr>
          <w:footerReference r:id="rId3" w:type="default"/>
          <w:pgSz w:w="11905" w:h="16838"/>
          <w:pgMar w:top="1191" w:right="1361" w:bottom="1191" w:left="1191" w:header="794" w:footer="794" w:gutter="0"/>
          <w:cols w:space="720" w:num="1"/>
          <w:docGrid w:linePitch="285" w:charSpace="0"/>
        </w:sectPr>
      </w:pPr>
    </w:p>
    <w:p>
      <w:pPr>
        <w:pStyle w:val="4"/>
        <w:spacing w:line="240" w:lineRule="auto"/>
        <w:jc w:val="center"/>
        <w:rPr>
          <w:rFonts w:hint="eastAsia"/>
        </w:rPr>
      </w:pPr>
      <w:bookmarkStart w:id="2" w:name="_Toc11119"/>
      <w:r>
        <w:rPr>
          <w:rFonts w:hint="eastAsia"/>
        </w:rPr>
        <w:t>符合性审查表</w:t>
      </w:r>
      <w:bookmarkEnd w:id="1"/>
      <w:bookmarkEnd w:id="2"/>
    </w:p>
    <w:tbl>
      <w:tblPr>
        <w:tblStyle w:val="11"/>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513"/>
        <w:gridCol w:w="146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70" w:type="dxa"/>
            <w:vMerge w:val="restart"/>
            <w:noWrap w:val="0"/>
            <w:vAlign w:val="center"/>
          </w:tcPr>
          <w:p>
            <w:pPr>
              <w:jc w:val="center"/>
              <w:rPr>
                <w:rFonts w:hint="eastAsia" w:ascii="宋体" w:hAnsi="宋体"/>
                <w:color w:val="000000"/>
                <w:szCs w:val="21"/>
              </w:rPr>
            </w:pPr>
            <w:r>
              <w:rPr>
                <w:rFonts w:hint="eastAsia" w:ascii="宋体" w:hAnsi="宋体"/>
                <w:color w:val="000000"/>
                <w:szCs w:val="21"/>
              </w:rPr>
              <w:t>评审内容</w:t>
            </w:r>
          </w:p>
        </w:tc>
        <w:tc>
          <w:tcPr>
            <w:tcW w:w="4461" w:type="dxa"/>
            <w:gridSpan w:val="3"/>
            <w:noWrap w:val="0"/>
            <w:vAlign w:val="center"/>
          </w:tcPr>
          <w:p>
            <w:pPr>
              <w:jc w:val="center"/>
              <w:rPr>
                <w:rFonts w:hint="eastAsia" w:ascii="宋体" w:hAnsi="宋体"/>
                <w:color w:val="000000"/>
                <w:szCs w:val="21"/>
              </w:rPr>
            </w:pPr>
            <w:r>
              <w:rPr>
                <w:rFonts w:hint="eastAsia" w:hAnsi="宋体"/>
                <w:color w:val="000000"/>
                <w:szCs w:val="21"/>
                <w:lang w:eastAsia="zh-CN"/>
              </w:rPr>
              <w:t>报价</w:t>
            </w:r>
            <w:r>
              <w:rPr>
                <w:rFonts w:hint="eastAsia" w:ascii="宋体" w:hAnsi="宋体"/>
                <w:color w:val="000000"/>
                <w:szCs w:val="21"/>
              </w:rPr>
              <w:t>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70" w:type="dxa"/>
            <w:vMerge w:val="continue"/>
            <w:noWrap w:val="0"/>
            <w:vAlign w:val="center"/>
          </w:tcPr>
          <w:p>
            <w:pPr>
              <w:rPr>
                <w:rFonts w:hint="eastAsia" w:ascii="宋体" w:hAnsi="宋体"/>
                <w:color w:val="000000"/>
                <w:szCs w:val="21"/>
              </w:rPr>
            </w:pPr>
          </w:p>
        </w:tc>
        <w:tc>
          <w:tcPr>
            <w:tcW w:w="1513" w:type="dxa"/>
            <w:noWrap w:val="0"/>
            <w:vAlign w:val="center"/>
          </w:tcPr>
          <w:p>
            <w:pPr>
              <w:jc w:val="center"/>
              <w:rPr>
                <w:rFonts w:ascii="宋体" w:hAnsi="宋体" w:cs="宋体"/>
                <w:color w:val="000000"/>
                <w:szCs w:val="21"/>
              </w:rPr>
            </w:pPr>
            <w:r>
              <w:rPr>
                <w:rFonts w:hint="eastAsia" w:hAnsi="宋体" w:cs="宋体"/>
                <w:color w:val="000000"/>
                <w:szCs w:val="21"/>
                <w:lang w:eastAsia="zh-CN"/>
              </w:rPr>
              <w:t>报价人</w:t>
            </w:r>
            <w:r>
              <w:rPr>
                <w:rFonts w:ascii="宋体" w:hAnsi="宋体" w:cs="宋体"/>
                <w:color w:val="000000"/>
                <w:szCs w:val="21"/>
              </w:rPr>
              <w:t>A</w:t>
            </w:r>
          </w:p>
        </w:tc>
        <w:tc>
          <w:tcPr>
            <w:tcW w:w="1460" w:type="dxa"/>
            <w:noWrap w:val="0"/>
            <w:vAlign w:val="center"/>
          </w:tcPr>
          <w:p>
            <w:pPr>
              <w:jc w:val="center"/>
              <w:rPr>
                <w:rFonts w:ascii="宋体" w:hAnsi="宋体" w:cs="宋体"/>
                <w:color w:val="000000"/>
                <w:szCs w:val="21"/>
              </w:rPr>
            </w:pPr>
            <w:r>
              <w:rPr>
                <w:rFonts w:hint="eastAsia" w:hAnsi="宋体" w:cs="宋体"/>
                <w:color w:val="000000"/>
                <w:szCs w:val="21"/>
                <w:lang w:eastAsia="zh-CN"/>
              </w:rPr>
              <w:t>报价人</w:t>
            </w:r>
            <w:r>
              <w:rPr>
                <w:rFonts w:ascii="宋体" w:hAnsi="宋体" w:cs="宋体"/>
                <w:color w:val="000000"/>
                <w:szCs w:val="21"/>
              </w:rPr>
              <w:t>B</w:t>
            </w:r>
          </w:p>
        </w:tc>
        <w:tc>
          <w:tcPr>
            <w:tcW w:w="1488" w:type="dxa"/>
            <w:noWrap w:val="0"/>
            <w:vAlign w:val="center"/>
          </w:tcPr>
          <w:p>
            <w:pPr>
              <w:jc w:val="center"/>
              <w:rPr>
                <w:rFonts w:ascii="宋体" w:hAnsi="宋体" w:cs="宋体"/>
                <w:color w:val="000000"/>
                <w:szCs w:val="21"/>
              </w:rPr>
            </w:pPr>
            <w:r>
              <w:rPr>
                <w:rFonts w:hint="eastAsia" w:hAnsi="宋体" w:cs="宋体"/>
                <w:color w:val="000000"/>
                <w:szCs w:val="21"/>
                <w:lang w:eastAsia="zh-CN"/>
              </w:rPr>
              <w:t>报价人</w:t>
            </w:r>
            <w:r>
              <w:rPr>
                <w:rFonts w:ascii="宋体" w:hAnsi="宋体" w:cs="宋体"/>
                <w:color w:val="000000"/>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070" w:type="dxa"/>
            <w:noWrap w:val="0"/>
            <w:vAlign w:val="center"/>
          </w:tcPr>
          <w:p>
            <w:pPr>
              <w:rPr>
                <w:rFonts w:hint="eastAsia" w:ascii="宋体" w:hAnsi="宋体"/>
                <w:color w:val="000000"/>
                <w:szCs w:val="21"/>
              </w:rPr>
            </w:pPr>
            <w:r>
              <w:rPr>
                <w:rFonts w:hint="eastAsia" w:ascii="宋体" w:hAnsi="宋体"/>
                <w:color w:val="000000"/>
                <w:szCs w:val="21"/>
              </w:rPr>
              <w:t>报价唯一，不高于采购人需求规定的最高限价</w:t>
            </w:r>
          </w:p>
        </w:tc>
        <w:tc>
          <w:tcPr>
            <w:tcW w:w="1513" w:type="dxa"/>
            <w:noWrap w:val="0"/>
            <w:vAlign w:val="center"/>
          </w:tcPr>
          <w:p>
            <w:pPr>
              <w:rPr>
                <w:rFonts w:hint="eastAsia" w:ascii="宋体" w:hAnsi="宋体"/>
                <w:color w:val="000000"/>
                <w:szCs w:val="21"/>
              </w:rPr>
            </w:pPr>
          </w:p>
        </w:tc>
        <w:tc>
          <w:tcPr>
            <w:tcW w:w="1460" w:type="dxa"/>
            <w:noWrap w:val="0"/>
            <w:vAlign w:val="center"/>
          </w:tcPr>
          <w:p>
            <w:pPr>
              <w:rPr>
                <w:rFonts w:hint="eastAsia" w:ascii="宋体" w:hAnsi="宋体"/>
                <w:color w:val="000000"/>
                <w:szCs w:val="21"/>
              </w:rPr>
            </w:pPr>
          </w:p>
        </w:tc>
        <w:tc>
          <w:tcPr>
            <w:tcW w:w="1488"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5070" w:type="dxa"/>
            <w:noWrap w:val="0"/>
            <w:vAlign w:val="center"/>
          </w:tcPr>
          <w:p>
            <w:pPr>
              <w:rPr>
                <w:rFonts w:hint="eastAsia" w:ascii="宋体" w:hAnsi="宋体"/>
                <w:color w:val="000000"/>
                <w:szCs w:val="21"/>
              </w:rPr>
            </w:pPr>
            <w:r>
              <w:rPr>
                <w:rFonts w:hint="eastAsia" w:ascii="宋体" w:hAnsi="宋体"/>
                <w:color w:val="000000"/>
                <w:szCs w:val="21"/>
              </w:rPr>
              <w:t>符合</w:t>
            </w:r>
            <w:r>
              <w:rPr>
                <w:rFonts w:hint="eastAsia" w:hAnsi="宋体"/>
                <w:color w:val="000000"/>
                <w:szCs w:val="21"/>
                <w:lang w:eastAsia="zh-CN"/>
              </w:rPr>
              <w:t>采购</w:t>
            </w:r>
            <w:r>
              <w:rPr>
                <w:rFonts w:hint="eastAsia" w:ascii="宋体" w:hAnsi="宋体"/>
                <w:color w:val="000000"/>
                <w:szCs w:val="21"/>
              </w:rPr>
              <w:t>文件的签署、盖章要求</w:t>
            </w:r>
          </w:p>
        </w:tc>
        <w:tc>
          <w:tcPr>
            <w:tcW w:w="1513" w:type="dxa"/>
            <w:noWrap w:val="0"/>
            <w:vAlign w:val="center"/>
          </w:tcPr>
          <w:p>
            <w:pPr>
              <w:rPr>
                <w:rFonts w:hint="eastAsia" w:ascii="宋体" w:hAnsi="宋体"/>
                <w:color w:val="000000"/>
                <w:szCs w:val="21"/>
              </w:rPr>
            </w:pPr>
          </w:p>
        </w:tc>
        <w:tc>
          <w:tcPr>
            <w:tcW w:w="1460" w:type="dxa"/>
            <w:noWrap w:val="0"/>
            <w:vAlign w:val="center"/>
          </w:tcPr>
          <w:p>
            <w:pPr>
              <w:rPr>
                <w:rFonts w:hint="eastAsia" w:ascii="宋体" w:hAnsi="宋体"/>
                <w:color w:val="000000"/>
                <w:szCs w:val="21"/>
              </w:rPr>
            </w:pPr>
          </w:p>
        </w:tc>
        <w:tc>
          <w:tcPr>
            <w:tcW w:w="1488"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5070" w:type="dxa"/>
            <w:noWrap w:val="0"/>
            <w:vAlign w:val="center"/>
          </w:tcPr>
          <w:p>
            <w:pPr>
              <w:rPr>
                <w:rFonts w:hint="eastAsia" w:ascii="宋体" w:hAnsi="宋体"/>
                <w:color w:val="000000"/>
                <w:szCs w:val="21"/>
              </w:rPr>
            </w:pPr>
            <w:r>
              <w:rPr>
                <w:rFonts w:hint="eastAsia" w:ascii="宋体" w:hAnsi="宋体"/>
                <w:color w:val="000000"/>
                <w:szCs w:val="21"/>
              </w:rPr>
              <w:t>按</w:t>
            </w:r>
            <w:r>
              <w:rPr>
                <w:rFonts w:hint="eastAsia" w:hAnsi="宋体"/>
                <w:color w:val="000000"/>
                <w:szCs w:val="21"/>
                <w:lang w:val="en-US" w:eastAsia="zh-CN"/>
              </w:rPr>
              <w:t>采购</w:t>
            </w:r>
            <w:r>
              <w:rPr>
                <w:rFonts w:hint="eastAsia" w:ascii="宋体" w:hAnsi="宋体"/>
                <w:color w:val="000000"/>
                <w:szCs w:val="21"/>
              </w:rPr>
              <w:t>文件要求提供</w:t>
            </w:r>
            <w:r>
              <w:rPr>
                <w:rFonts w:ascii="宋体" w:hAnsi="宋体"/>
                <w:color w:val="000000"/>
                <w:szCs w:val="21"/>
              </w:rPr>
              <w:t>法定代表人证明</w:t>
            </w:r>
            <w:r>
              <w:rPr>
                <w:rFonts w:hint="eastAsia" w:ascii="宋体" w:hAnsi="宋体"/>
                <w:color w:val="000000"/>
                <w:szCs w:val="21"/>
              </w:rPr>
              <w:t>及授</w:t>
            </w:r>
            <w:r>
              <w:rPr>
                <w:rFonts w:ascii="宋体" w:hAnsi="宋体"/>
                <w:color w:val="000000"/>
                <w:szCs w:val="21"/>
              </w:rPr>
              <w:t>权书</w:t>
            </w:r>
            <w:r>
              <w:rPr>
                <w:rFonts w:hint="eastAsia" w:ascii="宋体" w:hAnsi="宋体"/>
                <w:color w:val="000000"/>
                <w:szCs w:val="21"/>
              </w:rPr>
              <w:t>的</w:t>
            </w:r>
          </w:p>
        </w:tc>
        <w:tc>
          <w:tcPr>
            <w:tcW w:w="1513" w:type="dxa"/>
            <w:noWrap w:val="0"/>
            <w:vAlign w:val="center"/>
          </w:tcPr>
          <w:p>
            <w:pPr>
              <w:rPr>
                <w:rFonts w:hint="eastAsia" w:ascii="宋体" w:hAnsi="宋体"/>
                <w:color w:val="000000"/>
                <w:szCs w:val="21"/>
              </w:rPr>
            </w:pPr>
          </w:p>
        </w:tc>
        <w:tc>
          <w:tcPr>
            <w:tcW w:w="1460" w:type="dxa"/>
            <w:noWrap w:val="0"/>
            <w:vAlign w:val="center"/>
          </w:tcPr>
          <w:p>
            <w:pPr>
              <w:rPr>
                <w:rFonts w:hint="eastAsia" w:ascii="宋体" w:hAnsi="宋体"/>
                <w:color w:val="000000"/>
                <w:szCs w:val="21"/>
              </w:rPr>
            </w:pPr>
          </w:p>
        </w:tc>
        <w:tc>
          <w:tcPr>
            <w:tcW w:w="1488"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070" w:type="dxa"/>
            <w:noWrap w:val="0"/>
            <w:vAlign w:val="center"/>
          </w:tcPr>
          <w:p>
            <w:pPr>
              <w:rPr>
                <w:rFonts w:hint="eastAsia" w:ascii="宋体" w:hAnsi="宋体"/>
                <w:color w:val="000000"/>
                <w:szCs w:val="21"/>
              </w:rPr>
            </w:pPr>
            <w:r>
              <w:rPr>
                <w:rFonts w:hint="eastAsia" w:ascii="宋体" w:hAnsi="宋体"/>
                <w:color w:val="000000"/>
                <w:szCs w:val="21"/>
              </w:rPr>
              <w:t>满足</w:t>
            </w:r>
            <w:r>
              <w:rPr>
                <w:rFonts w:hint="eastAsia" w:hAnsi="宋体"/>
                <w:color w:val="000000"/>
                <w:szCs w:val="21"/>
                <w:lang w:eastAsia="zh-CN"/>
              </w:rPr>
              <w:t>采购</w:t>
            </w:r>
            <w:r>
              <w:rPr>
                <w:rFonts w:hint="eastAsia" w:ascii="宋体" w:hAnsi="宋体"/>
                <w:color w:val="000000"/>
                <w:szCs w:val="21"/>
              </w:rPr>
              <w:t>文件中带★号的条款和指标</w:t>
            </w:r>
          </w:p>
        </w:tc>
        <w:tc>
          <w:tcPr>
            <w:tcW w:w="1513" w:type="dxa"/>
            <w:noWrap w:val="0"/>
            <w:vAlign w:val="center"/>
          </w:tcPr>
          <w:p>
            <w:pPr>
              <w:rPr>
                <w:rFonts w:hint="eastAsia" w:ascii="宋体" w:hAnsi="宋体"/>
                <w:color w:val="000000"/>
                <w:szCs w:val="21"/>
              </w:rPr>
            </w:pPr>
          </w:p>
        </w:tc>
        <w:tc>
          <w:tcPr>
            <w:tcW w:w="1460" w:type="dxa"/>
            <w:noWrap w:val="0"/>
            <w:vAlign w:val="center"/>
          </w:tcPr>
          <w:p>
            <w:pPr>
              <w:rPr>
                <w:rFonts w:hint="eastAsia" w:ascii="宋体" w:hAnsi="宋体"/>
                <w:color w:val="000000"/>
                <w:szCs w:val="21"/>
              </w:rPr>
            </w:pPr>
          </w:p>
        </w:tc>
        <w:tc>
          <w:tcPr>
            <w:tcW w:w="1488"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070" w:type="dxa"/>
            <w:noWrap w:val="0"/>
            <w:vAlign w:val="center"/>
          </w:tcPr>
          <w:p>
            <w:pPr>
              <w:rPr>
                <w:rFonts w:hint="eastAsia" w:ascii="宋体" w:hAnsi="宋体"/>
                <w:color w:val="000000"/>
                <w:szCs w:val="21"/>
              </w:rPr>
            </w:pPr>
            <w:r>
              <w:rPr>
                <w:rFonts w:hint="eastAsia" w:ascii="宋体" w:hAnsi="宋体"/>
                <w:color w:val="000000"/>
                <w:szCs w:val="21"/>
              </w:rPr>
              <w:t>未发现无效</w:t>
            </w:r>
            <w:r>
              <w:rPr>
                <w:rFonts w:hint="eastAsia" w:hAnsi="宋体"/>
                <w:color w:val="000000"/>
                <w:szCs w:val="21"/>
                <w:lang w:eastAsia="zh-CN"/>
              </w:rPr>
              <w:t>报价</w:t>
            </w:r>
            <w:r>
              <w:rPr>
                <w:rFonts w:hint="eastAsia" w:ascii="宋体" w:hAnsi="宋体"/>
                <w:color w:val="000000"/>
                <w:szCs w:val="21"/>
              </w:rPr>
              <w:t>的其他情形的（见注1）</w:t>
            </w:r>
          </w:p>
        </w:tc>
        <w:tc>
          <w:tcPr>
            <w:tcW w:w="1513" w:type="dxa"/>
            <w:noWrap w:val="0"/>
            <w:vAlign w:val="center"/>
          </w:tcPr>
          <w:p>
            <w:pPr>
              <w:rPr>
                <w:rFonts w:hint="eastAsia" w:ascii="宋体" w:hAnsi="宋体"/>
                <w:color w:val="000000"/>
                <w:szCs w:val="21"/>
              </w:rPr>
            </w:pPr>
          </w:p>
        </w:tc>
        <w:tc>
          <w:tcPr>
            <w:tcW w:w="1460" w:type="dxa"/>
            <w:noWrap w:val="0"/>
            <w:vAlign w:val="center"/>
          </w:tcPr>
          <w:p>
            <w:pPr>
              <w:rPr>
                <w:rFonts w:hint="eastAsia" w:ascii="宋体" w:hAnsi="宋体"/>
                <w:color w:val="000000"/>
                <w:szCs w:val="21"/>
              </w:rPr>
            </w:pPr>
          </w:p>
        </w:tc>
        <w:tc>
          <w:tcPr>
            <w:tcW w:w="1488" w:type="dxa"/>
            <w:noWrap w:val="0"/>
            <w:vAlign w:val="center"/>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070" w:type="dxa"/>
            <w:noWrap w:val="0"/>
            <w:vAlign w:val="center"/>
          </w:tcPr>
          <w:p>
            <w:pPr>
              <w:jc w:val="center"/>
              <w:rPr>
                <w:rFonts w:hint="eastAsia" w:ascii="宋体" w:hAnsi="宋体"/>
                <w:color w:val="000000"/>
                <w:szCs w:val="21"/>
              </w:rPr>
            </w:pPr>
            <w:r>
              <w:rPr>
                <w:rFonts w:hint="eastAsia" w:ascii="宋体" w:hAnsi="宋体"/>
                <w:color w:val="000000"/>
                <w:szCs w:val="21"/>
              </w:rPr>
              <w:t>结论</w:t>
            </w:r>
          </w:p>
        </w:tc>
        <w:tc>
          <w:tcPr>
            <w:tcW w:w="1513" w:type="dxa"/>
            <w:noWrap w:val="0"/>
            <w:vAlign w:val="center"/>
          </w:tcPr>
          <w:p>
            <w:pPr>
              <w:rPr>
                <w:rFonts w:hint="eastAsia" w:ascii="宋体" w:hAnsi="宋体"/>
                <w:color w:val="000000"/>
                <w:szCs w:val="21"/>
              </w:rPr>
            </w:pPr>
          </w:p>
        </w:tc>
        <w:tc>
          <w:tcPr>
            <w:tcW w:w="1460" w:type="dxa"/>
            <w:noWrap w:val="0"/>
            <w:vAlign w:val="center"/>
          </w:tcPr>
          <w:p>
            <w:pPr>
              <w:rPr>
                <w:rFonts w:hint="eastAsia" w:ascii="宋体" w:hAnsi="宋体"/>
                <w:color w:val="000000"/>
                <w:szCs w:val="21"/>
              </w:rPr>
            </w:pPr>
          </w:p>
        </w:tc>
        <w:tc>
          <w:tcPr>
            <w:tcW w:w="1488" w:type="dxa"/>
            <w:noWrap w:val="0"/>
            <w:vAlign w:val="center"/>
          </w:tcPr>
          <w:p>
            <w:pPr>
              <w:rPr>
                <w:rFonts w:hint="eastAsia" w:ascii="宋体" w:hAnsi="宋体"/>
                <w:color w:val="000000"/>
                <w:szCs w:val="21"/>
              </w:rPr>
            </w:pPr>
          </w:p>
        </w:tc>
      </w:tr>
    </w:tbl>
    <w:p>
      <w:pPr>
        <w:rPr>
          <w:rFonts w:hint="eastAsia"/>
          <w:color w:val="000000"/>
        </w:rPr>
      </w:pPr>
    </w:p>
    <w:p>
      <w:pPr>
        <w:spacing w:line="360" w:lineRule="auto"/>
        <w:rPr>
          <w:rFonts w:hint="eastAsia" w:ascii="宋体" w:hAnsi="宋体" w:cs="宋体"/>
          <w:color w:val="000000"/>
          <w:szCs w:val="21"/>
        </w:rPr>
      </w:pPr>
      <w:r>
        <w:rPr>
          <w:rFonts w:hint="eastAsia" w:ascii="宋体" w:hAnsi="宋体" w:cs="宋体"/>
          <w:color w:val="000000"/>
          <w:szCs w:val="21"/>
        </w:rPr>
        <w:t>注1：无效</w:t>
      </w:r>
      <w:r>
        <w:rPr>
          <w:rFonts w:hint="eastAsia" w:hAnsi="宋体" w:cs="宋体"/>
          <w:color w:val="000000"/>
          <w:szCs w:val="21"/>
          <w:lang w:eastAsia="zh-CN"/>
        </w:rPr>
        <w:t>报价</w:t>
      </w:r>
      <w:r>
        <w:rPr>
          <w:rFonts w:hint="eastAsia" w:ascii="宋体" w:hAnsi="宋体" w:cs="宋体"/>
          <w:color w:val="000000"/>
          <w:szCs w:val="21"/>
        </w:rPr>
        <w:t>的其他情形</w:t>
      </w:r>
    </w:p>
    <w:p>
      <w:pPr>
        <w:spacing w:line="360" w:lineRule="auto"/>
        <w:ind w:left="420" w:hanging="420" w:hangingChars="200"/>
        <w:rPr>
          <w:rFonts w:hint="eastAsia" w:ascii="宋体" w:hAnsi="宋体" w:cs="宋体"/>
          <w:color w:val="000000"/>
          <w:szCs w:val="21"/>
        </w:rPr>
      </w:pPr>
      <w:r>
        <w:rPr>
          <w:rFonts w:hint="eastAsia" w:ascii="宋体" w:hAnsi="宋体" w:cs="宋体"/>
          <w:color w:val="000000"/>
          <w:szCs w:val="21"/>
        </w:rPr>
        <w:t>（1）</w:t>
      </w:r>
      <w:r>
        <w:rPr>
          <w:rFonts w:hint="eastAsia" w:hAnsi="宋体" w:cs="宋体"/>
          <w:color w:val="000000"/>
          <w:szCs w:val="21"/>
          <w:lang w:eastAsia="zh-CN"/>
        </w:rPr>
        <w:t>评审</w:t>
      </w:r>
      <w:r>
        <w:rPr>
          <w:rFonts w:hint="eastAsia" w:ascii="宋体" w:hAnsi="宋体" w:cs="宋体"/>
          <w:color w:val="000000"/>
          <w:szCs w:val="21"/>
        </w:rPr>
        <w:t>期间，</w:t>
      </w:r>
      <w:r>
        <w:rPr>
          <w:rFonts w:hint="eastAsia" w:hAnsi="宋体" w:cs="宋体"/>
          <w:color w:val="000000"/>
          <w:szCs w:val="21"/>
          <w:lang w:eastAsia="zh-CN"/>
        </w:rPr>
        <w:t>报价人</w:t>
      </w:r>
      <w:r>
        <w:rPr>
          <w:rFonts w:hint="eastAsia" w:ascii="宋体" w:hAnsi="宋体" w:cs="宋体"/>
          <w:color w:val="000000"/>
          <w:szCs w:val="21"/>
        </w:rPr>
        <w:t>没有按评</w:t>
      </w:r>
      <w:r>
        <w:rPr>
          <w:rFonts w:hint="eastAsia" w:ascii="宋体" w:hAnsi="宋体" w:cs="宋体"/>
          <w:color w:val="000000"/>
          <w:szCs w:val="21"/>
          <w:lang w:eastAsia="zh-CN"/>
        </w:rPr>
        <w:t>审</w:t>
      </w:r>
      <w:r>
        <w:rPr>
          <w:rFonts w:hint="eastAsia" w:ascii="宋体" w:hAnsi="宋体" w:cs="宋体"/>
          <w:color w:val="000000"/>
          <w:szCs w:val="21"/>
        </w:rPr>
        <w:t>委员会的要求提交经授权代表签字的澄清、说明、补正或改变了</w:t>
      </w:r>
      <w:r>
        <w:rPr>
          <w:rFonts w:hint="eastAsia" w:hAnsi="宋体" w:cs="宋体"/>
          <w:color w:val="000000"/>
          <w:szCs w:val="21"/>
          <w:lang w:eastAsia="zh-CN"/>
        </w:rPr>
        <w:t>报价</w:t>
      </w:r>
      <w:r>
        <w:rPr>
          <w:rFonts w:hint="eastAsia" w:ascii="宋体" w:hAnsi="宋体" w:cs="宋体"/>
          <w:color w:val="000000"/>
          <w:szCs w:val="21"/>
        </w:rPr>
        <w:t>文件的实质性内容的；</w:t>
      </w:r>
    </w:p>
    <w:p>
      <w:pPr>
        <w:spacing w:line="360" w:lineRule="auto"/>
        <w:rPr>
          <w:rFonts w:hint="eastAsia" w:ascii="宋体" w:hAnsi="宋体" w:cs="宋体"/>
          <w:color w:val="000000"/>
          <w:szCs w:val="21"/>
        </w:rPr>
      </w:pPr>
      <w:r>
        <w:rPr>
          <w:rFonts w:hint="eastAsia" w:ascii="宋体" w:hAnsi="宋体" w:cs="宋体"/>
          <w:color w:val="000000"/>
          <w:szCs w:val="21"/>
        </w:rPr>
        <w:t>（2）经</w:t>
      </w:r>
      <w:r>
        <w:rPr>
          <w:rFonts w:hint="eastAsia" w:ascii="宋体" w:hAnsi="宋体" w:cs="宋体"/>
          <w:color w:val="000000"/>
          <w:szCs w:val="21"/>
          <w:lang w:eastAsia="zh-CN"/>
        </w:rPr>
        <w:t>评审</w:t>
      </w:r>
      <w:r>
        <w:rPr>
          <w:rFonts w:hint="eastAsia" w:ascii="宋体" w:hAnsi="宋体" w:cs="宋体"/>
          <w:color w:val="000000"/>
          <w:szCs w:val="21"/>
        </w:rPr>
        <w:t>委员会认定</w:t>
      </w:r>
      <w:r>
        <w:rPr>
          <w:rFonts w:hint="eastAsia" w:hAnsi="宋体" w:cs="宋体"/>
          <w:color w:val="000000"/>
          <w:szCs w:val="21"/>
          <w:lang w:eastAsia="zh-CN"/>
        </w:rPr>
        <w:t>报价</w:t>
      </w:r>
      <w:r>
        <w:rPr>
          <w:rFonts w:hint="eastAsia" w:ascii="宋体" w:hAnsi="宋体" w:cs="宋体"/>
          <w:color w:val="000000"/>
          <w:szCs w:val="21"/>
        </w:rPr>
        <w:t>文件提供虚假材料的；</w:t>
      </w:r>
    </w:p>
    <w:p>
      <w:pPr>
        <w:spacing w:line="360" w:lineRule="auto"/>
        <w:rPr>
          <w:rFonts w:hint="eastAsia" w:ascii="宋体" w:hAnsi="宋体" w:cs="宋体"/>
          <w:color w:val="000000"/>
          <w:szCs w:val="21"/>
        </w:rPr>
      </w:pPr>
      <w:r>
        <w:rPr>
          <w:rFonts w:hint="eastAsia" w:ascii="宋体" w:hAnsi="宋体" w:cs="宋体"/>
          <w:color w:val="000000"/>
          <w:szCs w:val="21"/>
        </w:rPr>
        <w:t>（3）</w:t>
      </w:r>
      <w:r>
        <w:rPr>
          <w:rFonts w:hint="eastAsia" w:hAnsi="宋体" w:cs="宋体"/>
          <w:color w:val="000000"/>
          <w:szCs w:val="21"/>
          <w:lang w:eastAsia="zh-CN"/>
        </w:rPr>
        <w:t>报价人</w:t>
      </w:r>
      <w:r>
        <w:rPr>
          <w:rFonts w:hint="eastAsia" w:ascii="宋体" w:hAnsi="宋体" w:cs="宋体"/>
          <w:color w:val="000000"/>
          <w:szCs w:val="21"/>
        </w:rPr>
        <w:t>以他人的名义</w:t>
      </w:r>
      <w:r>
        <w:rPr>
          <w:rFonts w:hint="eastAsia" w:ascii="宋体" w:hAnsi="宋体" w:cs="宋体"/>
          <w:color w:val="000000"/>
          <w:szCs w:val="21"/>
          <w:lang w:eastAsia="zh-CN"/>
        </w:rPr>
        <w:t>报价</w:t>
      </w:r>
      <w:r>
        <w:rPr>
          <w:rFonts w:hint="eastAsia" w:ascii="宋体" w:hAnsi="宋体" w:cs="宋体"/>
          <w:color w:val="000000"/>
          <w:szCs w:val="21"/>
        </w:rPr>
        <w:t>、串通</w:t>
      </w:r>
      <w:r>
        <w:rPr>
          <w:rFonts w:hint="eastAsia" w:ascii="宋体" w:hAnsi="宋体" w:cs="宋体"/>
          <w:color w:val="000000"/>
          <w:szCs w:val="21"/>
          <w:lang w:eastAsia="zh-CN"/>
        </w:rPr>
        <w:t>报价</w:t>
      </w:r>
      <w:r>
        <w:rPr>
          <w:rFonts w:hint="eastAsia" w:ascii="宋体" w:hAnsi="宋体" w:cs="宋体"/>
          <w:color w:val="000000"/>
          <w:szCs w:val="21"/>
        </w:rPr>
        <w:t>、以行贿手段谋取中标或者以其他弄虚作假方式</w:t>
      </w:r>
      <w:r>
        <w:rPr>
          <w:rFonts w:hint="eastAsia" w:ascii="宋体" w:hAnsi="宋体" w:cs="宋体"/>
          <w:color w:val="000000"/>
          <w:szCs w:val="21"/>
          <w:lang w:eastAsia="zh-CN"/>
        </w:rPr>
        <w:t>报价</w:t>
      </w:r>
      <w:r>
        <w:rPr>
          <w:rFonts w:hint="eastAsia" w:ascii="宋体" w:hAnsi="宋体" w:cs="宋体"/>
          <w:color w:val="000000"/>
          <w:szCs w:val="21"/>
        </w:rPr>
        <w:t>的；</w:t>
      </w:r>
    </w:p>
    <w:p>
      <w:pPr>
        <w:spacing w:line="360" w:lineRule="auto"/>
        <w:rPr>
          <w:rFonts w:hint="eastAsia" w:ascii="宋体" w:hAnsi="宋体" w:cs="宋体"/>
          <w:color w:val="000000"/>
          <w:szCs w:val="21"/>
        </w:rPr>
      </w:pPr>
      <w:r>
        <w:rPr>
          <w:rFonts w:hint="eastAsia" w:ascii="宋体" w:hAnsi="宋体" w:cs="宋体"/>
          <w:color w:val="000000"/>
          <w:szCs w:val="21"/>
        </w:rPr>
        <w:t>（4）</w:t>
      </w:r>
      <w:r>
        <w:rPr>
          <w:rFonts w:hint="eastAsia" w:hAnsi="宋体" w:cs="宋体"/>
          <w:color w:val="000000"/>
          <w:szCs w:val="21"/>
          <w:lang w:eastAsia="zh-CN"/>
        </w:rPr>
        <w:t>报价人</w:t>
      </w:r>
      <w:r>
        <w:rPr>
          <w:rFonts w:hint="eastAsia" w:ascii="宋体" w:hAnsi="宋体" w:cs="宋体"/>
          <w:color w:val="000000"/>
          <w:szCs w:val="21"/>
        </w:rPr>
        <w:t>对采购人、</w:t>
      </w:r>
      <w:r>
        <w:rPr>
          <w:rFonts w:hint="eastAsia" w:ascii="宋体" w:hAnsi="宋体" w:cs="宋体"/>
          <w:color w:val="000000"/>
          <w:szCs w:val="21"/>
          <w:lang w:eastAsia="zh-CN"/>
        </w:rPr>
        <w:t>评审</w:t>
      </w:r>
      <w:r>
        <w:rPr>
          <w:rFonts w:hint="eastAsia" w:ascii="宋体" w:hAnsi="宋体" w:cs="宋体"/>
          <w:color w:val="000000"/>
          <w:szCs w:val="21"/>
        </w:rPr>
        <w:t>委员会及其工作人员施加影响，有碍公平、公正的；</w:t>
      </w:r>
    </w:p>
    <w:p>
      <w:pPr>
        <w:spacing w:line="360" w:lineRule="auto"/>
        <w:rPr>
          <w:rFonts w:hint="eastAsia" w:ascii="宋体" w:hAnsi="宋体" w:cs="宋体"/>
          <w:color w:val="000000"/>
          <w:szCs w:val="21"/>
        </w:rPr>
      </w:pPr>
      <w:r>
        <w:rPr>
          <w:rFonts w:hint="eastAsia" w:ascii="宋体" w:hAnsi="宋体" w:cs="宋体"/>
          <w:color w:val="000000"/>
          <w:szCs w:val="21"/>
        </w:rPr>
        <w:t>（5）</w:t>
      </w:r>
      <w:r>
        <w:rPr>
          <w:rFonts w:hint="eastAsia" w:hAnsi="宋体" w:cs="宋体"/>
          <w:color w:val="000000"/>
          <w:szCs w:val="21"/>
          <w:lang w:eastAsia="zh-CN"/>
        </w:rPr>
        <w:t>采购</w:t>
      </w:r>
      <w:r>
        <w:rPr>
          <w:rFonts w:hint="eastAsia" w:ascii="宋体" w:hAnsi="宋体" w:cs="宋体"/>
          <w:color w:val="000000"/>
          <w:szCs w:val="21"/>
        </w:rPr>
        <w:t>文件附有采购人不能接受的条件；</w:t>
      </w:r>
    </w:p>
    <w:p>
      <w:pPr>
        <w:spacing w:line="360" w:lineRule="auto"/>
        <w:ind w:left="420" w:hanging="420" w:hangingChars="200"/>
        <w:rPr>
          <w:rFonts w:hint="eastAsia" w:ascii="宋体" w:hAnsi="宋体" w:cs="宋体"/>
          <w:color w:val="000000"/>
          <w:szCs w:val="21"/>
        </w:rPr>
      </w:pPr>
      <w:r>
        <w:rPr>
          <w:rFonts w:hint="eastAsia" w:ascii="宋体" w:hAnsi="宋体" w:cs="宋体"/>
          <w:color w:val="000000"/>
          <w:szCs w:val="21"/>
        </w:rPr>
        <w:t>（6）</w:t>
      </w:r>
      <w:r>
        <w:rPr>
          <w:rFonts w:hint="eastAsia" w:ascii="宋体" w:hAnsi="宋体" w:cs="宋体"/>
          <w:color w:val="000000"/>
          <w:szCs w:val="21"/>
          <w:lang w:eastAsia="zh-CN"/>
        </w:rPr>
        <w:t>评审</w:t>
      </w:r>
      <w:r>
        <w:rPr>
          <w:rFonts w:hint="eastAsia" w:ascii="宋体" w:hAnsi="宋体" w:cs="宋体"/>
          <w:color w:val="000000"/>
          <w:szCs w:val="21"/>
        </w:rPr>
        <w:t>委员会认为</w:t>
      </w:r>
      <w:r>
        <w:rPr>
          <w:rFonts w:hint="eastAsia" w:hAnsi="宋体" w:cs="宋体"/>
          <w:color w:val="000000"/>
          <w:szCs w:val="21"/>
          <w:lang w:eastAsia="zh-CN"/>
        </w:rPr>
        <w:t>报价人</w:t>
      </w:r>
      <w:r>
        <w:rPr>
          <w:rFonts w:hint="eastAsia" w:ascii="宋体" w:hAnsi="宋体" w:cs="宋体"/>
          <w:color w:val="000000"/>
          <w:szCs w:val="21"/>
        </w:rPr>
        <w:t>的报价明显低于其他通过符合性审查</w:t>
      </w:r>
      <w:r>
        <w:rPr>
          <w:rFonts w:hint="eastAsia" w:hAnsi="宋体" w:cs="宋体"/>
          <w:color w:val="000000"/>
          <w:szCs w:val="21"/>
          <w:lang w:eastAsia="zh-CN"/>
        </w:rPr>
        <w:t>报价人</w:t>
      </w:r>
      <w:r>
        <w:rPr>
          <w:rFonts w:hint="eastAsia" w:ascii="宋体" w:hAnsi="宋体" w:cs="宋体"/>
          <w:color w:val="000000"/>
          <w:szCs w:val="21"/>
        </w:rPr>
        <w:t>的报价，有可能影响产品质量或者不能诚信履约的，应当要求其在评</w:t>
      </w:r>
      <w:r>
        <w:rPr>
          <w:rFonts w:hint="eastAsia" w:ascii="宋体" w:hAnsi="宋体" w:cs="宋体"/>
          <w:color w:val="000000"/>
          <w:szCs w:val="21"/>
          <w:lang w:eastAsia="zh-CN"/>
        </w:rPr>
        <w:t>审</w:t>
      </w:r>
      <w:r>
        <w:rPr>
          <w:rFonts w:hint="eastAsia" w:ascii="宋体" w:hAnsi="宋体" w:cs="宋体"/>
          <w:color w:val="000000"/>
          <w:szCs w:val="21"/>
        </w:rPr>
        <w:t>现场合理的时间内提供书面说明，必要时提交相关证明材料；</w:t>
      </w:r>
      <w:r>
        <w:rPr>
          <w:rFonts w:hint="eastAsia" w:hAnsi="宋体" w:cs="宋体"/>
          <w:color w:val="000000"/>
          <w:szCs w:val="21"/>
          <w:lang w:eastAsia="zh-CN"/>
        </w:rPr>
        <w:t>报价人</w:t>
      </w:r>
      <w:r>
        <w:rPr>
          <w:rFonts w:hint="eastAsia" w:ascii="宋体" w:hAnsi="宋体" w:cs="宋体"/>
          <w:color w:val="000000"/>
          <w:szCs w:val="21"/>
        </w:rPr>
        <w:t>不能证明其报价合理性的，评</w:t>
      </w:r>
      <w:r>
        <w:rPr>
          <w:rFonts w:hint="eastAsia" w:ascii="宋体" w:hAnsi="宋体" w:cs="宋体"/>
          <w:color w:val="000000"/>
          <w:szCs w:val="21"/>
          <w:lang w:eastAsia="zh-CN"/>
        </w:rPr>
        <w:t>审</w:t>
      </w:r>
      <w:r>
        <w:rPr>
          <w:rFonts w:hint="eastAsia" w:ascii="宋体" w:hAnsi="宋体" w:cs="宋体"/>
          <w:color w:val="000000"/>
          <w:szCs w:val="21"/>
        </w:rPr>
        <w:t>委员会应当将其作为无效</w:t>
      </w:r>
      <w:r>
        <w:rPr>
          <w:rFonts w:hint="eastAsia" w:ascii="宋体" w:hAnsi="宋体" w:cs="宋体"/>
          <w:color w:val="000000"/>
          <w:szCs w:val="21"/>
          <w:lang w:eastAsia="zh-CN"/>
        </w:rPr>
        <w:t>报价</w:t>
      </w:r>
      <w:r>
        <w:rPr>
          <w:rFonts w:hint="eastAsia" w:ascii="宋体" w:hAnsi="宋体" w:cs="宋体"/>
          <w:color w:val="000000"/>
          <w:szCs w:val="21"/>
        </w:rPr>
        <w:t>处理。</w:t>
      </w:r>
    </w:p>
    <w:p>
      <w:pPr>
        <w:spacing w:line="360" w:lineRule="auto"/>
        <w:rPr>
          <w:rFonts w:hint="eastAsia" w:ascii="宋体" w:hAnsi="宋体" w:cs="宋体"/>
          <w:color w:val="000000"/>
          <w:szCs w:val="21"/>
        </w:rPr>
      </w:pPr>
      <w:r>
        <w:rPr>
          <w:rFonts w:hint="eastAsia" w:ascii="宋体" w:hAnsi="宋体" w:cs="宋体"/>
          <w:color w:val="000000"/>
          <w:szCs w:val="21"/>
        </w:rPr>
        <w:t>（7）出现不符合相关法律、法规要求的情况的。</w:t>
      </w:r>
    </w:p>
    <w:p>
      <w:pPr>
        <w:spacing w:line="480" w:lineRule="auto"/>
        <w:rPr>
          <w:rFonts w:hint="eastAsia" w:ascii="黑体" w:hAnsi="黑体" w:eastAsia="黑体"/>
          <w:color w:val="000000"/>
          <w:sz w:val="24"/>
        </w:rPr>
      </w:pPr>
    </w:p>
    <w:p>
      <w:pPr>
        <w:pStyle w:val="2"/>
        <w:rPr>
          <w:rFonts w:hint="eastAsia"/>
        </w:rPr>
      </w:pPr>
    </w:p>
    <w:p>
      <w:pPr>
        <w:spacing w:line="480" w:lineRule="auto"/>
        <w:rPr>
          <w:rFonts w:hint="eastAsia" w:ascii="黑体" w:hAnsi="黑体" w:eastAsia="黑体"/>
          <w:color w:val="000000"/>
          <w:sz w:val="24"/>
        </w:rPr>
      </w:pPr>
    </w:p>
    <w:p>
      <w:pPr>
        <w:pStyle w:val="4"/>
        <w:spacing w:line="240" w:lineRule="auto"/>
        <w:jc w:val="center"/>
        <w:rPr>
          <w:color w:val="000000"/>
        </w:rPr>
      </w:pPr>
      <w:r>
        <w:rPr>
          <w:rFonts w:hint="eastAsia"/>
        </w:rPr>
        <w:t>综合评分表</w:t>
      </w:r>
    </w:p>
    <w:p>
      <w:pPr>
        <w:rPr>
          <w:rFonts w:hint="eastAsia" w:ascii="宋体" w:hAnsi="宋体" w:cs="宋体"/>
        </w:rPr>
      </w:pPr>
      <w:r>
        <w:rPr>
          <w:rFonts w:hint="eastAsia"/>
        </w:rPr>
        <w:t>评分总值最</w:t>
      </w:r>
      <w:r>
        <w:rPr>
          <w:rFonts w:hint="eastAsia" w:ascii="宋体" w:hAnsi="宋体" w:cs="宋体"/>
        </w:rPr>
        <w:t>高为100分，商务、技术及价格得分分值分配设置如下：</w:t>
      </w:r>
    </w:p>
    <w:tbl>
      <w:tblPr>
        <w:tblStyle w:val="11"/>
        <w:tblW w:w="4824" w:type="pct"/>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910"/>
        <w:gridCol w:w="1860"/>
        <w:gridCol w:w="1796"/>
        <w:gridCol w:w="1503"/>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noWrap w:val="0"/>
            <w:vAlign w:val="center"/>
          </w:tcPr>
          <w:p>
            <w:pPr>
              <w:spacing w:line="360" w:lineRule="auto"/>
              <w:jc w:val="center"/>
              <w:rPr>
                <w:rFonts w:ascii="宋体" w:hAnsi="宋体"/>
                <w:b/>
                <w:szCs w:val="21"/>
              </w:rPr>
            </w:pPr>
            <w:r>
              <w:rPr>
                <w:rFonts w:hint="eastAsia" w:ascii="宋体" w:hAnsi="宋体"/>
                <w:b/>
                <w:szCs w:val="21"/>
              </w:rPr>
              <w:t>评分项目</w:t>
            </w:r>
          </w:p>
        </w:tc>
        <w:tc>
          <w:tcPr>
            <w:tcW w:w="1161" w:type="pct"/>
            <w:noWrap w:val="0"/>
            <w:vAlign w:val="center"/>
          </w:tcPr>
          <w:p>
            <w:pPr>
              <w:spacing w:line="360" w:lineRule="auto"/>
              <w:jc w:val="center"/>
              <w:rPr>
                <w:rFonts w:ascii="宋体" w:hAnsi="宋体"/>
                <w:b/>
                <w:szCs w:val="21"/>
              </w:rPr>
            </w:pPr>
            <w:r>
              <w:rPr>
                <w:rFonts w:hint="eastAsia" w:ascii="宋体" w:hAnsi="宋体"/>
                <w:b/>
                <w:szCs w:val="21"/>
              </w:rPr>
              <w:t>商务评审</w:t>
            </w:r>
          </w:p>
        </w:tc>
        <w:tc>
          <w:tcPr>
            <w:tcW w:w="1131" w:type="pct"/>
            <w:noWrap w:val="0"/>
            <w:vAlign w:val="center"/>
          </w:tcPr>
          <w:p>
            <w:pPr>
              <w:spacing w:line="360" w:lineRule="auto"/>
              <w:jc w:val="center"/>
              <w:rPr>
                <w:rFonts w:hint="eastAsia" w:ascii="宋体" w:hAnsi="宋体"/>
                <w:b/>
                <w:szCs w:val="21"/>
              </w:rPr>
            </w:pPr>
            <w:r>
              <w:rPr>
                <w:rFonts w:hint="eastAsia" w:ascii="宋体" w:hAnsi="宋体"/>
                <w:b/>
                <w:szCs w:val="21"/>
              </w:rPr>
              <w:t>技术评审</w:t>
            </w:r>
          </w:p>
        </w:tc>
        <w:tc>
          <w:tcPr>
            <w:tcW w:w="1092" w:type="pct"/>
            <w:noWrap w:val="0"/>
            <w:vAlign w:val="center"/>
          </w:tcPr>
          <w:p>
            <w:pPr>
              <w:spacing w:line="360" w:lineRule="auto"/>
              <w:jc w:val="center"/>
              <w:rPr>
                <w:rFonts w:ascii="宋体" w:hAnsi="宋体"/>
                <w:b/>
                <w:szCs w:val="21"/>
              </w:rPr>
            </w:pPr>
            <w:r>
              <w:rPr>
                <w:rFonts w:hint="eastAsia" w:ascii="宋体" w:hAnsi="宋体"/>
                <w:b/>
                <w:szCs w:val="21"/>
              </w:rPr>
              <w:t>价格评审</w:t>
            </w:r>
          </w:p>
        </w:tc>
        <w:tc>
          <w:tcPr>
            <w:tcW w:w="913" w:type="pct"/>
            <w:noWrap w:val="0"/>
            <w:vAlign w:val="top"/>
          </w:tcPr>
          <w:p>
            <w:pPr>
              <w:spacing w:line="360" w:lineRule="auto"/>
              <w:jc w:val="center"/>
              <w:rPr>
                <w:rFonts w:hint="eastAsia" w:ascii="宋体" w:hAnsi="宋体"/>
                <w:b/>
                <w:szCs w:val="21"/>
              </w:rPr>
            </w:pPr>
            <w:r>
              <w:rPr>
                <w:rFonts w:hint="eastAsia" w:ascii="宋体" w:hAnsi="宋体"/>
                <w:b/>
                <w:szCs w:val="21"/>
              </w:rPr>
              <w:t>总分</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noWrap w:val="0"/>
            <w:vAlign w:val="center"/>
          </w:tcPr>
          <w:p>
            <w:pPr>
              <w:spacing w:line="360" w:lineRule="auto"/>
              <w:jc w:val="center"/>
              <w:rPr>
                <w:rFonts w:ascii="宋体" w:hAnsi="宋体"/>
                <w:bCs/>
                <w:szCs w:val="21"/>
              </w:rPr>
            </w:pPr>
            <w:r>
              <w:rPr>
                <w:rFonts w:hint="eastAsia" w:ascii="宋体" w:hAnsi="宋体"/>
                <w:bCs/>
                <w:szCs w:val="21"/>
              </w:rPr>
              <w:t>分值</w:t>
            </w:r>
          </w:p>
        </w:tc>
        <w:tc>
          <w:tcPr>
            <w:tcW w:w="1161" w:type="pct"/>
            <w:noWrap w:val="0"/>
            <w:vAlign w:val="center"/>
          </w:tcPr>
          <w:p>
            <w:pPr>
              <w:spacing w:line="360" w:lineRule="auto"/>
              <w:jc w:val="center"/>
              <w:rPr>
                <w:rFonts w:hint="default" w:ascii="宋体" w:hAnsi="宋体" w:eastAsia="宋体"/>
                <w:bCs/>
                <w:szCs w:val="21"/>
                <w:lang w:val="en-US" w:eastAsia="zh-CN"/>
              </w:rPr>
            </w:pPr>
            <w:r>
              <w:rPr>
                <w:rFonts w:hint="eastAsia" w:hAnsi="宋体"/>
                <w:bCs/>
                <w:szCs w:val="21"/>
                <w:lang w:val="en-US" w:eastAsia="zh-CN"/>
              </w:rPr>
              <w:t>40</w:t>
            </w:r>
          </w:p>
        </w:tc>
        <w:tc>
          <w:tcPr>
            <w:tcW w:w="1131" w:type="pct"/>
            <w:noWrap w:val="0"/>
            <w:vAlign w:val="center"/>
          </w:tcPr>
          <w:p>
            <w:pPr>
              <w:spacing w:line="360" w:lineRule="auto"/>
              <w:jc w:val="center"/>
              <w:rPr>
                <w:rFonts w:ascii="宋体" w:hAnsi="宋体"/>
                <w:bCs/>
                <w:szCs w:val="21"/>
              </w:rPr>
            </w:pPr>
            <w:r>
              <w:rPr>
                <w:rFonts w:hint="eastAsia" w:ascii="宋体" w:hAnsi="宋体"/>
                <w:bCs/>
                <w:szCs w:val="21"/>
              </w:rPr>
              <w:t>50</w:t>
            </w:r>
          </w:p>
        </w:tc>
        <w:tc>
          <w:tcPr>
            <w:tcW w:w="1092" w:type="pct"/>
            <w:noWrap w:val="0"/>
            <w:vAlign w:val="center"/>
          </w:tcPr>
          <w:p>
            <w:pPr>
              <w:spacing w:line="360" w:lineRule="auto"/>
              <w:jc w:val="center"/>
              <w:rPr>
                <w:rFonts w:hint="default" w:ascii="宋体" w:hAnsi="宋体" w:eastAsia="宋体"/>
                <w:bCs/>
                <w:szCs w:val="21"/>
                <w:lang w:val="en-US" w:eastAsia="zh-CN"/>
              </w:rPr>
            </w:pPr>
            <w:r>
              <w:rPr>
                <w:rFonts w:hint="eastAsia" w:hAnsi="宋体"/>
                <w:bCs/>
                <w:szCs w:val="21"/>
                <w:lang w:val="en-US" w:eastAsia="zh-CN"/>
              </w:rPr>
              <w:t>10</w:t>
            </w:r>
          </w:p>
        </w:tc>
        <w:tc>
          <w:tcPr>
            <w:tcW w:w="913" w:type="pct"/>
            <w:noWrap w:val="0"/>
            <w:vAlign w:val="top"/>
          </w:tcPr>
          <w:p>
            <w:pPr>
              <w:spacing w:line="360" w:lineRule="auto"/>
              <w:jc w:val="center"/>
              <w:rPr>
                <w:rFonts w:hint="eastAsia" w:ascii="宋体" w:hAnsi="宋体"/>
                <w:bCs/>
                <w:szCs w:val="21"/>
              </w:rPr>
            </w:pPr>
            <w:r>
              <w:rPr>
                <w:rFonts w:hint="eastAsia" w:ascii="宋体" w:hAnsi="宋体"/>
                <w:bCs/>
                <w:szCs w:val="21"/>
              </w:rPr>
              <w:t>100</w:t>
            </w:r>
          </w:p>
        </w:tc>
      </w:tr>
    </w:tbl>
    <w:p>
      <w:pPr>
        <w:pStyle w:val="8"/>
        <w:spacing w:line="300" w:lineRule="auto"/>
        <w:ind w:firstLine="0"/>
        <w:jc w:val="center"/>
        <w:rPr>
          <w:rFonts w:hint="eastAsia" w:ascii="Arial" w:hAnsi="Arial" w:eastAsia="黑体"/>
          <w:b/>
          <w:bCs/>
          <w:sz w:val="32"/>
          <w:szCs w:val="32"/>
        </w:rPr>
      </w:pPr>
    </w:p>
    <w:p>
      <w:pPr>
        <w:tabs>
          <w:tab w:val="left" w:pos="0"/>
        </w:tabs>
        <w:spacing w:line="360" w:lineRule="auto"/>
        <w:jc w:val="center"/>
        <w:rPr>
          <w:rFonts w:hint="eastAsia" w:ascii="Arial" w:hAnsi="Arial" w:eastAsia="黑体"/>
          <w:b/>
          <w:bCs/>
          <w:sz w:val="32"/>
          <w:szCs w:val="32"/>
        </w:rPr>
      </w:pPr>
      <w:r>
        <w:rPr>
          <w:rFonts w:hint="eastAsia" w:ascii="Arial" w:hAnsi="Arial" w:eastAsia="黑体"/>
          <w:b/>
          <w:bCs/>
          <w:sz w:val="32"/>
          <w:szCs w:val="32"/>
        </w:rPr>
        <w:t>价格评审表</w:t>
      </w:r>
    </w:p>
    <w:tbl>
      <w:tblPr>
        <w:tblStyle w:val="11"/>
        <w:tblW w:w="0" w:type="auto"/>
        <w:tblInd w:w="0" w:type="dxa"/>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c>
          <w:tcPr>
            <w:tcW w:w="9794" w:type="dxa"/>
            <w:noWrap w:val="0"/>
            <w:vAlign w:val="top"/>
          </w:tcPr>
          <w:p>
            <w:pPr>
              <w:spacing w:line="276" w:lineRule="auto"/>
              <w:rPr>
                <w:rFonts w:hint="eastAsia" w:ascii="宋体" w:hAnsi="宋体" w:eastAsia="宋体" w:cs="宋体"/>
                <w:color w:val="000000"/>
                <w:sz w:val="20"/>
                <w:szCs w:val="21"/>
                <w:lang w:eastAsia="zh-CN"/>
              </w:rPr>
            </w:pPr>
            <w:r>
              <w:rPr>
                <w:rFonts w:hint="eastAsia" w:ascii="宋体" w:hAnsi="宋体" w:cs="宋体"/>
                <w:color w:val="000000"/>
                <w:sz w:val="20"/>
                <w:szCs w:val="21"/>
              </w:rPr>
              <w:t>1、</w:t>
            </w:r>
            <w:r>
              <w:rPr>
                <w:rFonts w:hint="eastAsia" w:ascii="宋体" w:hAnsi="宋体" w:cs="宋体"/>
                <w:color w:val="000000"/>
                <w:sz w:val="20"/>
                <w:szCs w:val="21"/>
                <w:lang w:eastAsia="zh-CN"/>
              </w:rPr>
              <w:t>评审</w:t>
            </w:r>
            <w:r>
              <w:rPr>
                <w:rFonts w:hint="eastAsia" w:ascii="宋体" w:hAnsi="宋体" w:cs="宋体"/>
                <w:color w:val="000000"/>
                <w:sz w:val="20"/>
                <w:szCs w:val="21"/>
              </w:rPr>
              <w:t>基准价：满足</w:t>
            </w:r>
            <w:r>
              <w:rPr>
                <w:rFonts w:hint="eastAsia" w:hAnsi="宋体" w:cs="宋体"/>
                <w:color w:val="000000"/>
                <w:sz w:val="20"/>
                <w:szCs w:val="21"/>
                <w:lang w:eastAsia="zh-CN"/>
              </w:rPr>
              <w:t>采购</w:t>
            </w:r>
            <w:r>
              <w:rPr>
                <w:rFonts w:hint="eastAsia" w:ascii="宋体" w:hAnsi="宋体" w:cs="宋体"/>
                <w:color w:val="000000"/>
                <w:sz w:val="20"/>
                <w:szCs w:val="21"/>
              </w:rPr>
              <w:t>文件要求的所有</w:t>
            </w:r>
            <w:r>
              <w:rPr>
                <w:rFonts w:hint="eastAsia" w:hAnsi="宋体" w:cs="宋体"/>
                <w:color w:val="000000"/>
                <w:sz w:val="20"/>
                <w:szCs w:val="21"/>
                <w:lang w:eastAsia="zh-CN"/>
              </w:rPr>
              <w:t>报价</w:t>
            </w:r>
            <w:r>
              <w:rPr>
                <w:rFonts w:hint="eastAsia" w:ascii="宋体" w:hAnsi="宋体" w:cs="宋体"/>
                <w:color w:val="000000"/>
                <w:sz w:val="20"/>
                <w:szCs w:val="21"/>
              </w:rPr>
              <w:t>价格的算术平均值为</w:t>
            </w:r>
            <w:r>
              <w:rPr>
                <w:rFonts w:hint="eastAsia" w:ascii="宋体" w:hAnsi="宋体" w:cs="宋体"/>
                <w:color w:val="000000"/>
                <w:sz w:val="20"/>
                <w:szCs w:val="21"/>
                <w:lang w:eastAsia="zh-CN"/>
              </w:rPr>
              <w:t>评审</w:t>
            </w:r>
            <w:r>
              <w:rPr>
                <w:rFonts w:hint="eastAsia" w:ascii="宋体" w:hAnsi="宋体" w:cs="宋体"/>
                <w:color w:val="000000"/>
                <w:sz w:val="20"/>
                <w:szCs w:val="21"/>
              </w:rPr>
              <w:t>基准价（有效报价供应商&gt;5家，则扣除最高报价和最低报价后的算术平均值为</w:t>
            </w:r>
            <w:r>
              <w:rPr>
                <w:rFonts w:hint="eastAsia" w:ascii="宋体" w:hAnsi="宋体" w:cs="宋体"/>
                <w:color w:val="000000"/>
                <w:sz w:val="20"/>
                <w:szCs w:val="21"/>
                <w:lang w:eastAsia="zh-CN"/>
              </w:rPr>
              <w:t>评审</w:t>
            </w:r>
            <w:r>
              <w:rPr>
                <w:rFonts w:hint="eastAsia" w:ascii="宋体" w:hAnsi="宋体" w:cs="宋体"/>
                <w:color w:val="000000"/>
                <w:sz w:val="20"/>
                <w:szCs w:val="21"/>
              </w:rPr>
              <w:t>基准价）。</w:t>
            </w:r>
          </w:p>
          <w:p>
            <w:pPr>
              <w:spacing w:line="276" w:lineRule="auto"/>
              <w:ind w:firstLine="2000" w:firstLineChars="1000"/>
              <w:rPr>
                <w:rFonts w:hint="eastAsia" w:ascii="宋体" w:hAnsi="宋体" w:eastAsia="宋体" w:cs="宋体"/>
                <w:color w:val="000000"/>
                <w:sz w:val="20"/>
                <w:szCs w:val="21"/>
                <w:lang w:eastAsia="zh-CN"/>
              </w:rPr>
            </w:pPr>
          </w:p>
          <w:p>
            <w:pPr>
              <w:spacing w:line="276" w:lineRule="auto"/>
              <w:rPr>
                <w:rFonts w:hint="eastAsia" w:ascii="宋体" w:hAnsi="宋体" w:eastAsia="宋体" w:cs="宋体"/>
                <w:color w:val="000000"/>
                <w:sz w:val="20"/>
                <w:szCs w:val="21"/>
                <w:lang w:eastAsia="zh-CN"/>
              </w:rPr>
            </w:pPr>
            <w:r>
              <w:rPr>
                <w:rFonts w:hint="eastAsia" w:ascii="宋体" w:hAnsi="宋体" w:cs="宋体"/>
                <w:color w:val="000000"/>
                <w:sz w:val="20"/>
                <w:szCs w:val="21"/>
              </w:rPr>
              <w:t>2、</w:t>
            </w:r>
            <w:r>
              <w:rPr>
                <w:rFonts w:hint="eastAsia" w:ascii="宋体" w:hAnsi="宋体" w:cs="宋体"/>
                <w:color w:val="000000"/>
                <w:sz w:val="20"/>
                <w:szCs w:val="21"/>
                <w:lang w:eastAsia="zh-CN"/>
              </w:rPr>
              <w:t>评审</w:t>
            </w:r>
            <w:r>
              <w:rPr>
                <w:rFonts w:hint="eastAsia" w:ascii="宋体" w:hAnsi="宋体" w:cs="宋体"/>
                <w:color w:val="000000"/>
                <w:sz w:val="20"/>
                <w:szCs w:val="21"/>
              </w:rPr>
              <w:t>价格比=（报价/</w:t>
            </w:r>
            <w:r>
              <w:rPr>
                <w:rFonts w:hint="eastAsia" w:ascii="宋体" w:hAnsi="宋体" w:cs="宋体"/>
                <w:color w:val="000000"/>
                <w:sz w:val="20"/>
                <w:szCs w:val="21"/>
                <w:lang w:eastAsia="zh-CN"/>
              </w:rPr>
              <w:t>评审</w:t>
            </w:r>
            <w:r>
              <w:rPr>
                <w:rFonts w:hint="eastAsia" w:ascii="宋体" w:hAnsi="宋体" w:cs="宋体"/>
                <w:color w:val="000000"/>
                <w:sz w:val="20"/>
                <w:szCs w:val="21"/>
              </w:rPr>
              <w:t>基准价）*100% （</w:t>
            </w:r>
            <w:r>
              <w:rPr>
                <w:rFonts w:hint="eastAsia" w:ascii="宋体" w:hAnsi="宋体" w:cs="宋体"/>
                <w:color w:val="000000"/>
                <w:sz w:val="20"/>
                <w:szCs w:val="21"/>
                <w:lang w:eastAsia="zh-CN"/>
              </w:rPr>
              <w:t>评审</w:t>
            </w:r>
            <w:r>
              <w:rPr>
                <w:rFonts w:hint="eastAsia" w:ascii="宋体" w:hAnsi="宋体" w:cs="宋体"/>
                <w:color w:val="000000"/>
                <w:sz w:val="20"/>
                <w:szCs w:val="21"/>
              </w:rPr>
              <w:t>价格比四舍五入取小数点后2位）。</w:t>
            </w:r>
          </w:p>
          <w:p>
            <w:pPr>
              <w:spacing w:line="276" w:lineRule="auto"/>
              <w:rPr>
                <w:rFonts w:hint="eastAsia" w:ascii="宋体" w:hAnsi="宋体" w:eastAsia="宋体" w:cs="宋体"/>
                <w:color w:val="000000"/>
                <w:sz w:val="20"/>
                <w:szCs w:val="21"/>
                <w:lang w:eastAsia="zh-CN"/>
              </w:rPr>
            </w:pPr>
          </w:p>
          <w:p>
            <w:pPr>
              <w:spacing w:line="276" w:lineRule="auto"/>
              <w:rPr>
                <w:rFonts w:ascii="Arial" w:hAnsi="Arial"/>
                <w:b/>
                <w:bCs/>
                <w:sz w:val="32"/>
                <w:szCs w:val="32"/>
              </w:rPr>
            </w:pPr>
            <w:r>
              <w:rPr>
                <w:rFonts w:hint="eastAsia" w:ascii="宋体" w:hAnsi="宋体" w:cs="宋体"/>
                <w:color w:val="000000"/>
                <w:sz w:val="20"/>
                <w:szCs w:val="21"/>
              </w:rPr>
              <w:t>3、报价评分：价格比等于100%的得10分；价格比大于100%的，价格比（以100%为基准）每增加1%扣</w:t>
            </w:r>
            <w:r>
              <w:rPr>
                <w:rFonts w:hint="eastAsia" w:ascii="宋体" w:hAnsi="宋体" w:cs="宋体"/>
                <w:color w:val="FF0000"/>
                <w:sz w:val="20"/>
                <w:szCs w:val="21"/>
              </w:rPr>
              <w:t>0.2分，</w:t>
            </w:r>
            <w:r>
              <w:rPr>
                <w:rFonts w:hint="eastAsia" w:ascii="宋体" w:hAnsi="宋体" w:cs="宋体"/>
                <w:color w:val="000000"/>
                <w:sz w:val="20"/>
                <w:szCs w:val="21"/>
              </w:rPr>
              <w:t>价格比小于100%的，价格比（以100%为基准）每减少1%扣</w:t>
            </w:r>
            <w:r>
              <w:rPr>
                <w:rFonts w:hint="eastAsia" w:ascii="宋体" w:hAnsi="宋体" w:cs="宋体"/>
                <w:color w:val="FF0000"/>
                <w:sz w:val="20"/>
                <w:szCs w:val="21"/>
              </w:rPr>
              <w:t>0.1分</w:t>
            </w:r>
            <w:r>
              <w:rPr>
                <w:rFonts w:hint="eastAsia" w:ascii="宋体" w:hAnsi="宋体" w:cs="宋体"/>
                <w:color w:val="000000"/>
                <w:sz w:val="20"/>
                <w:szCs w:val="21"/>
              </w:rPr>
              <w:t>。</w:t>
            </w:r>
          </w:p>
        </w:tc>
      </w:tr>
    </w:tbl>
    <w:p>
      <w:pPr>
        <w:pStyle w:val="8"/>
        <w:spacing w:line="300" w:lineRule="auto"/>
        <w:ind w:firstLine="0"/>
        <w:jc w:val="both"/>
        <w:rPr>
          <w:rFonts w:hint="eastAsia" w:ascii="Arial" w:hAnsi="Arial" w:eastAsia="黑体"/>
          <w:b/>
          <w:bCs/>
          <w:sz w:val="32"/>
          <w:szCs w:val="32"/>
        </w:rPr>
      </w:pPr>
    </w:p>
    <w:p>
      <w:pPr>
        <w:pStyle w:val="8"/>
        <w:spacing w:line="300" w:lineRule="auto"/>
        <w:ind w:firstLine="0"/>
        <w:jc w:val="center"/>
        <w:rPr>
          <w:rFonts w:ascii="Arial" w:hAnsi="Arial" w:eastAsia="黑体"/>
          <w:b/>
          <w:bCs/>
          <w:sz w:val="32"/>
          <w:szCs w:val="32"/>
        </w:rPr>
      </w:pPr>
      <w:r>
        <w:rPr>
          <w:rFonts w:hint="eastAsia" w:ascii="Arial" w:hAnsi="Arial" w:eastAsia="黑体"/>
          <w:b/>
          <w:bCs/>
          <w:sz w:val="32"/>
          <w:szCs w:val="32"/>
        </w:rPr>
        <w:t>商务评审表</w:t>
      </w:r>
    </w:p>
    <w:tbl>
      <w:tblPr>
        <w:tblStyle w:val="11"/>
        <w:tblW w:w="5000"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389"/>
        <w:gridCol w:w="890"/>
        <w:gridCol w:w="591"/>
        <w:gridCol w:w="66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5" w:hRule="atLeast"/>
          <w:tblHeader/>
        </w:trPr>
        <w:tc>
          <w:tcPr>
            <w:tcW w:w="228" w:type="pct"/>
            <w:tcBorders>
              <w:top w:val="single" w:color="000000" w:sz="8" w:space="0"/>
              <w:left w:val="single" w:color="000000" w:sz="8" w:space="0"/>
              <w:bottom w:val="single" w:color="000000" w:sz="8" w:space="0"/>
              <w:right w:val="single" w:color="000000" w:sz="8" w:space="0"/>
            </w:tcBorders>
            <w:shd w:val="clear" w:color="auto" w:fill="D7D7D7"/>
            <w:noWrap/>
            <w:vAlign w:val="center"/>
          </w:tcPr>
          <w:p>
            <w:pPr>
              <w:keepNext w:val="0"/>
              <w:keepLines w:val="0"/>
              <w:pageBreakBefore w:val="0"/>
              <w:kinsoku/>
              <w:wordWrap/>
              <w:overflowPunct/>
              <w:topLinePunct w:val="0"/>
              <w:autoSpaceDE/>
              <w:autoSpaceDN/>
              <w:bidi w:val="0"/>
              <w:spacing w:line="360" w:lineRule="auto"/>
              <w:jc w:val="center"/>
              <w:rPr>
                <w:rFonts w:ascii="宋体" w:hAnsi="宋体" w:cs="宋体"/>
                <w:b/>
                <w:color w:val="000000"/>
                <w:szCs w:val="21"/>
              </w:rPr>
            </w:pPr>
            <w:r>
              <w:rPr>
                <w:rFonts w:hint="eastAsia" w:ascii="宋体" w:hAnsi="宋体" w:cs="宋体"/>
                <w:b/>
                <w:color w:val="000000"/>
                <w:szCs w:val="21"/>
              </w:rPr>
              <w:t>序号</w:t>
            </w:r>
          </w:p>
        </w:tc>
        <w:tc>
          <w:tcPr>
            <w:tcW w:w="522" w:type="pct"/>
            <w:tcBorders>
              <w:top w:val="single" w:color="000000" w:sz="8" w:space="0"/>
              <w:left w:val="single" w:color="000000" w:sz="8" w:space="0"/>
              <w:bottom w:val="single" w:color="000000" w:sz="8" w:space="0"/>
              <w:right w:val="single" w:color="000000" w:sz="8" w:space="0"/>
            </w:tcBorders>
            <w:shd w:val="clear" w:color="auto" w:fill="D7D7D7"/>
            <w:noWrap/>
            <w:vAlign w:val="center"/>
          </w:tcPr>
          <w:p>
            <w:pPr>
              <w:keepNext w:val="0"/>
              <w:keepLines w:val="0"/>
              <w:pageBreakBefore w:val="0"/>
              <w:kinsoku/>
              <w:wordWrap/>
              <w:overflowPunct/>
              <w:topLinePunct w:val="0"/>
              <w:autoSpaceDE/>
              <w:autoSpaceDN/>
              <w:bidi w:val="0"/>
              <w:spacing w:line="360" w:lineRule="auto"/>
              <w:jc w:val="center"/>
              <w:rPr>
                <w:rFonts w:ascii="宋体" w:hAnsi="宋体" w:cs="宋体"/>
                <w:b/>
                <w:color w:val="000000"/>
                <w:szCs w:val="21"/>
              </w:rPr>
            </w:pPr>
            <w:r>
              <w:rPr>
                <w:rFonts w:hint="eastAsia" w:ascii="宋体" w:hAnsi="宋体" w:cs="宋体"/>
                <w:b/>
                <w:color w:val="000000"/>
                <w:szCs w:val="21"/>
              </w:rPr>
              <w:t>评审项目</w:t>
            </w:r>
          </w:p>
        </w:tc>
        <w:tc>
          <w:tcPr>
            <w:tcW w:w="346" w:type="pct"/>
            <w:tcBorders>
              <w:top w:val="single" w:color="000000" w:sz="8" w:space="0"/>
              <w:left w:val="single" w:color="000000" w:sz="8" w:space="0"/>
              <w:bottom w:val="single" w:color="000000" w:sz="8" w:space="0"/>
              <w:right w:val="single" w:color="000000" w:sz="8" w:space="0"/>
            </w:tcBorders>
            <w:shd w:val="clear" w:color="auto" w:fill="D7D7D7"/>
            <w:noWrap/>
            <w:vAlign w:val="center"/>
          </w:tcPr>
          <w:p>
            <w:pPr>
              <w:keepNext w:val="0"/>
              <w:keepLines w:val="0"/>
              <w:pageBreakBefore w:val="0"/>
              <w:kinsoku/>
              <w:wordWrap/>
              <w:overflowPunct/>
              <w:topLinePunct w:val="0"/>
              <w:autoSpaceDE/>
              <w:autoSpaceDN/>
              <w:bidi w:val="0"/>
              <w:spacing w:line="360" w:lineRule="auto"/>
              <w:jc w:val="center"/>
              <w:rPr>
                <w:rFonts w:ascii="宋体" w:hAnsi="宋体" w:cs="宋体"/>
                <w:b/>
                <w:color w:val="000000"/>
                <w:szCs w:val="21"/>
              </w:rPr>
            </w:pPr>
            <w:r>
              <w:rPr>
                <w:rFonts w:hint="eastAsia" w:ascii="宋体" w:hAnsi="宋体" w:cs="宋体"/>
                <w:b/>
                <w:color w:val="000000"/>
                <w:szCs w:val="21"/>
              </w:rPr>
              <w:t>分值</w:t>
            </w:r>
          </w:p>
        </w:tc>
        <w:tc>
          <w:tcPr>
            <w:tcW w:w="3902" w:type="pct"/>
            <w:tcBorders>
              <w:top w:val="single" w:color="000000" w:sz="8" w:space="0"/>
              <w:left w:val="single" w:color="000000" w:sz="8" w:space="0"/>
              <w:bottom w:val="single" w:color="000000" w:sz="8" w:space="0"/>
              <w:right w:val="single" w:color="000000" w:sz="8" w:space="0"/>
            </w:tcBorders>
            <w:shd w:val="clear" w:color="auto" w:fill="D7D7D7"/>
            <w:noWrap/>
            <w:vAlign w:val="center"/>
          </w:tcPr>
          <w:p>
            <w:pPr>
              <w:keepNext w:val="0"/>
              <w:keepLines w:val="0"/>
              <w:pageBreakBefore w:val="0"/>
              <w:kinsoku/>
              <w:wordWrap/>
              <w:overflowPunct/>
              <w:topLinePunct w:val="0"/>
              <w:autoSpaceDE/>
              <w:autoSpaceDN/>
              <w:bidi w:val="0"/>
              <w:spacing w:line="360" w:lineRule="auto"/>
              <w:jc w:val="center"/>
              <w:rPr>
                <w:rFonts w:ascii="宋体" w:hAnsi="宋体" w:cs="宋体"/>
                <w:b/>
                <w:color w:val="000000"/>
                <w:szCs w:val="21"/>
              </w:rPr>
            </w:pPr>
            <w:r>
              <w:rPr>
                <w:rFonts w:hint="eastAsia" w:ascii="宋体" w:hAnsi="宋体" w:cs="宋体"/>
                <w:b/>
                <w:color w:val="000000"/>
                <w:szCs w:val="21"/>
              </w:rPr>
              <w:t>评分范围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58" w:hRule="atLeast"/>
        </w:trPr>
        <w:tc>
          <w:tcPr>
            <w:tcW w:w="228"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pacing w:line="360" w:lineRule="auto"/>
              <w:jc w:val="center"/>
              <w:rPr>
                <w:rFonts w:ascii="宋体" w:hAnsi="宋体" w:cs="宋体"/>
                <w:color w:val="000000"/>
                <w:szCs w:val="21"/>
                <w:highlight w:val="none"/>
              </w:rPr>
            </w:pPr>
            <w:r>
              <w:rPr>
                <w:rFonts w:hint="eastAsia" w:ascii="宋体" w:hAnsi="宋体" w:cs="宋体"/>
                <w:color w:val="000000"/>
                <w:szCs w:val="21"/>
                <w:highlight w:val="none"/>
              </w:rPr>
              <w:t>1</w:t>
            </w:r>
          </w:p>
        </w:tc>
        <w:tc>
          <w:tcPr>
            <w:tcW w:w="522" w:type="pct"/>
            <w:tcBorders>
              <w:top w:val="single" w:color="000000" w:sz="8" w:space="0"/>
              <w:left w:val="single" w:color="000000" w:sz="8" w:space="0"/>
              <w:bottom w:val="single" w:color="000000" w:sz="8" w:space="0"/>
              <w:right w:val="single" w:color="000000" w:sz="8" w:space="0"/>
            </w:tcBorders>
            <w:noWrap/>
            <w:vAlign w:val="center"/>
          </w:tcPr>
          <w:p>
            <w:pPr>
              <w:pStyle w:val="13"/>
              <w:keepNext w:val="0"/>
              <w:keepLines w:val="0"/>
              <w:pageBreakBefore w:val="0"/>
              <w:kinsoku/>
              <w:wordWrap/>
              <w:overflowPunct/>
              <w:topLinePunct w:val="0"/>
              <w:autoSpaceDE/>
              <w:autoSpaceDN/>
              <w:bidi w:val="0"/>
              <w:spacing w:line="360" w:lineRule="auto"/>
              <w:jc w:val="center"/>
              <w:rPr>
                <w:rFonts w:ascii="宋体" w:hAnsi="宋体" w:cs="宋体"/>
                <w:color w:val="000000"/>
                <w:highlight w:val="none"/>
              </w:rPr>
            </w:pPr>
            <w:r>
              <w:rPr>
                <w:rFonts w:hint="eastAsia" w:ascii="宋体" w:hAnsi="宋体" w:cs="宋体"/>
                <w:color w:val="000000"/>
                <w:highlight w:val="none"/>
              </w:rPr>
              <w:t>同类项目业绩</w:t>
            </w:r>
          </w:p>
        </w:tc>
        <w:tc>
          <w:tcPr>
            <w:tcW w:w="346" w:type="pct"/>
            <w:tcBorders>
              <w:top w:val="single" w:color="000000" w:sz="8" w:space="0"/>
              <w:left w:val="single" w:color="000000" w:sz="8" w:space="0"/>
              <w:bottom w:val="single" w:color="000000" w:sz="8" w:space="0"/>
              <w:right w:val="single" w:color="000000" w:sz="8" w:space="0"/>
            </w:tcBorders>
            <w:noWrap/>
            <w:vAlign w:val="center"/>
          </w:tcPr>
          <w:p>
            <w:pPr>
              <w:pStyle w:val="13"/>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000000"/>
                <w:highlight w:val="none"/>
                <w:lang w:eastAsia="zh-CN"/>
              </w:rPr>
            </w:pPr>
            <w:r>
              <w:rPr>
                <w:rFonts w:hint="eastAsia" w:ascii="宋体" w:hAnsi="宋体" w:cs="宋体"/>
                <w:color w:val="000000"/>
                <w:highlight w:val="none"/>
                <w:lang w:val="en-US" w:eastAsia="zh-CN"/>
              </w:rPr>
              <w:t>8</w:t>
            </w:r>
          </w:p>
        </w:tc>
        <w:tc>
          <w:tcPr>
            <w:tcW w:w="3902"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spacing w:line="360" w:lineRule="auto"/>
              <w:jc w:val="left"/>
              <w:textAlignment w:val="center"/>
              <w:rPr>
                <w:rFonts w:hint="eastAsia" w:ascii="宋体" w:hAnsi="宋体" w:eastAsia="宋体" w:cs="宋体"/>
                <w:color w:val="000000"/>
                <w:szCs w:val="21"/>
                <w:highlight w:val="none"/>
                <w:lang w:eastAsia="zh-CN"/>
              </w:rPr>
            </w:pPr>
            <w:r>
              <w:rPr>
                <w:rFonts w:hint="eastAsia" w:ascii="宋体" w:hAnsi="宋体" w:cs="宋体"/>
                <w:color w:val="000000"/>
                <w:szCs w:val="21"/>
                <w:highlight w:val="none"/>
              </w:rPr>
              <w:t>比较</w:t>
            </w:r>
            <w:r>
              <w:rPr>
                <w:rFonts w:hint="eastAsia" w:hAnsi="宋体" w:cs="宋体"/>
                <w:color w:val="000000"/>
                <w:szCs w:val="21"/>
                <w:highlight w:val="none"/>
                <w:lang w:eastAsia="zh-CN"/>
              </w:rPr>
              <w:t>报价人</w:t>
            </w:r>
            <w:r>
              <w:rPr>
                <w:rFonts w:hint="eastAsia" w:ascii="宋体" w:hAnsi="宋体" w:cs="宋体"/>
                <w:color w:val="000000"/>
                <w:szCs w:val="21"/>
                <w:highlight w:val="none"/>
              </w:rPr>
              <w:t>在2019年1月1日至今承接过的同类团检项目案例。每提供1份业绩得1分。满分</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分。</w:t>
            </w:r>
          </w:p>
          <w:p>
            <w:pPr>
              <w:keepNext w:val="0"/>
              <w:keepLines w:val="0"/>
              <w:pageBreakBefore w:val="0"/>
              <w:widowControl/>
              <w:kinsoku/>
              <w:wordWrap/>
              <w:overflowPunct/>
              <w:topLinePunct w:val="0"/>
              <w:autoSpaceDE/>
              <w:autoSpaceDN/>
              <w:bidi w:val="0"/>
              <w:spacing w:line="360" w:lineRule="auto"/>
              <w:jc w:val="left"/>
              <w:textAlignment w:val="center"/>
              <w:rPr>
                <w:rFonts w:ascii="宋体" w:hAnsi="宋体" w:cs="宋体"/>
                <w:color w:val="000000"/>
                <w:szCs w:val="21"/>
                <w:highlight w:val="none"/>
              </w:rPr>
            </w:pPr>
            <w:r>
              <w:rPr>
                <w:rFonts w:hint="eastAsia"/>
                <w:b/>
                <w:szCs w:val="21"/>
                <w:highlight w:val="none"/>
              </w:rPr>
              <w:t>注：</w:t>
            </w:r>
            <w:r>
              <w:rPr>
                <w:rFonts w:hint="eastAsia"/>
                <w:szCs w:val="21"/>
                <w:highlight w:val="none"/>
              </w:rPr>
              <w:t>①须提供同类案例合同关键页复印件，合同须显示评审内容（签约主体、服务内容，签字页等），业绩时间以合同签订时间为准，提供的复印件不能显示评审内容或未提供复印件的不得分。②与同一个单位不同年度签订的合同，可累计计算，与同一个单位一个年度内签订多份合同的，不累计计算。③提供合同中的签约主体必须与</w:t>
            </w:r>
            <w:r>
              <w:rPr>
                <w:rFonts w:hint="eastAsia"/>
                <w:szCs w:val="21"/>
                <w:highlight w:val="none"/>
                <w:lang w:eastAsia="zh-CN"/>
              </w:rPr>
              <w:t>报价</w:t>
            </w:r>
            <w:r>
              <w:rPr>
                <w:rFonts w:hint="eastAsia"/>
                <w:szCs w:val="21"/>
                <w:highlight w:val="none"/>
              </w:rPr>
              <w:t>主体名称一致，不一致的不得分。④未提供的或评委无法认定的不得分。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94" w:hRule="atLeast"/>
        </w:trPr>
        <w:tc>
          <w:tcPr>
            <w:tcW w:w="228"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2</w:t>
            </w:r>
          </w:p>
        </w:tc>
        <w:tc>
          <w:tcPr>
            <w:tcW w:w="522" w:type="pct"/>
            <w:tcBorders>
              <w:top w:val="single" w:color="000000" w:sz="8" w:space="0"/>
              <w:left w:val="single" w:color="000000" w:sz="8" w:space="0"/>
              <w:bottom w:val="single" w:color="000000" w:sz="8" w:space="0"/>
              <w:right w:val="single" w:color="000000" w:sz="8" w:space="0"/>
            </w:tcBorders>
            <w:noWrap/>
            <w:vAlign w:val="center"/>
          </w:tcPr>
          <w:p>
            <w:pPr>
              <w:pStyle w:val="13"/>
              <w:keepNext w:val="0"/>
              <w:keepLines w:val="0"/>
              <w:pageBreakBefore w:val="0"/>
              <w:kinsoku/>
              <w:wordWrap/>
              <w:overflowPunct/>
              <w:topLinePunct w:val="0"/>
              <w:autoSpaceDE/>
              <w:autoSpaceDN/>
              <w:bidi w:val="0"/>
              <w:spacing w:line="360" w:lineRule="auto"/>
              <w:jc w:val="center"/>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业主</w:t>
            </w:r>
          </w:p>
          <w:p>
            <w:pPr>
              <w:pStyle w:val="13"/>
              <w:keepNext w:val="0"/>
              <w:keepLines w:val="0"/>
              <w:pageBreakBefore w:val="0"/>
              <w:kinsoku/>
              <w:wordWrap/>
              <w:overflowPunct/>
              <w:topLinePunct w:val="0"/>
              <w:autoSpaceDE/>
              <w:autoSpaceDN/>
              <w:bidi w:val="0"/>
              <w:spacing w:line="360" w:lineRule="auto"/>
              <w:jc w:val="center"/>
              <w:rPr>
                <w:rFonts w:hint="default" w:ascii="宋体" w:hAnsi="宋体" w:eastAsia="宋体" w:cs="宋体"/>
                <w:color w:val="000000"/>
                <w:highlight w:val="none"/>
                <w:lang w:val="en-US" w:eastAsia="zh-CN"/>
              </w:rPr>
            </w:pPr>
            <w:r>
              <w:rPr>
                <w:rFonts w:hint="eastAsia" w:ascii="宋体" w:hAnsi="宋体" w:cs="宋体"/>
                <w:color w:val="000000"/>
                <w:highlight w:val="none"/>
                <w:lang w:val="en-US" w:eastAsia="zh-CN"/>
              </w:rPr>
              <w:t>好评</w:t>
            </w:r>
          </w:p>
        </w:tc>
        <w:tc>
          <w:tcPr>
            <w:tcW w:w="346"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pacing w:line="360" w:lineRule="auto"/>
              <w:jc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3</w:t>
            </w:r>
          </w:p>
        </w:tc>
        <w:tc>
          <w:tcPr>
            <w:tcW w:w="3902"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adjustRightInd w:val="0"/>
              <w:snapToGrid w:val="0"/>
              <w:spacing w:line="360" w:lineRule="auto"/>
              <w:jc w:val="left"/>
              <w:rPr>
                <w:rFonts w:hint="eastAsia" w:ascii="宋体" w:hAnsi="宋体"/>
                <w:bCs/>
                <w:szCs w:val="21"/>
                <w:highlight w:val="none"/>
              </w:rPr>
            </w:pPr>
            <w:r>
              <w:rPr>
                <w:rFonts w:hint="eastAsia" w:ascii="宋体" w:hAnsi="宋体"/>
                <w:bCs/>
                <w:szCs w:val="21"/>
                <w:highlight w:val="none"/>
              </w:rPr>
              <w:t>提供</w:t>
            </w:r>
            <w:r>
              <w:rPr>
                <w:rFonts w:hint="eastAsia" w:ascii="宋体" w:hAnsi="宋体"/>
                <w:bCs/>
                <w:szCs w:val="21"/>
                <w:highlight w:val="none"/>
                <w:lang w:val="en-US" w:eastAsia="zh-CN"/>
              </w:rPr>
              <w:t>上述</w:t>
            </w:r>
            <w:r>
              <w:rPr>
                <w:rFonts w:hint="eastAsia" w:ascii="宋体" w:hAnsi="宋体"/>
                <w:bCs/>
                <w:szCs w:val="21"/>
                <w:highlight w:val="none"/>
              </w:rPr>
              <w:t>同类项目</w:t>
            </w:r>
            <w:r>
              <w:rPr>
                <w:rFonts w:hint="eastAsia" w:ascii="宋体" w:hAnsi="宋体"/>
                <w:bCs/>
                <w:szCs w:val="21"/>
                <w:highlight w:val="none"/>
                <w:lang w:val="en-US" w:eastAsia="zh-CN"/>
              </w:rPr>
              <w:t>合同中</w:t>
            </w:r>
            <w:r>
              <w:rPr>
                <w:rFonts w:hint="eastAsia" w:ascii="宋体" w:hAnsi="宋体"/>
                <w:bCs/>
                <w:szCs w:val="21"/>
                <w:highlight w:val="none"/>
              </w:rPr>
              <w:t>用户单位出具</w:t>
            </w:r>
            <w:r>
              <w:rPr>
                <w:rFonts w:hint="eastAsia" w:ascii="宋体" w:hAnsi="宋体"/>
                <w:bCs/>
                <w:szCs w:val="21"/>
                <w:highlight w:val="none"/>
                <w:lang w:val="en-US" w:eastAsia="zh-CN"/>
              </w:rPr>
              <w:t>盖章</w:t>
            </w:r>
            <w:r>
              <w:rPr>
                <w:rFonts w:hint="eastAsia" w:ascii="宋体" w:hAnsi="宋体"/>
                <w:bCs/>
                <w:szCs w:val="21"/>
                <w:highlight w:val="none"/>
              </w:rPr>
              <w:t>的满意度评价为</w:t>
            </w:r>
            <w:r>
              <w:rPr>
                <w:rFonts w:hint="eastAsia" w:ascii="宋体" w:hAnsi="宋体"/>
                <w:bCs/>
                <w:szCs w:val="21"/>
                <w:highlight w:val="none"/>
                <w:lang w:eastAsia="zh-CN"/>
              </w:rPr>
              <w:t>“</w:t>
            </w:r>
            <w:r>
              <w:rPr>
                <w:rFonts w:hint="eastAsia" w:ascii="宋体" w:hAnsi="宋体"/>
                <w:bCs/>
                <w:szCs w:val="21"/>
                <w:highlight w:val="none"/>
              </w:rPr>
              <w:t>满意</w:t>
            </w:r>
            <w:r>
              <w:rPr>
                <w:rFonts w:hint="eastAsia" w:ascii="宋体" w:hAnsi="宋体"/>
                <w:bCs/>
                <w:szCs w:val="21"/>
                <w:highlight w:val="none"/>
                <w:lang w:eastAsia="zh-CN"/>
              </w:rPr>
              <w:t>”</w:t>
            </w:r>
            <w:r>
              <w:rPr>
                <w:rFonts w:hint="eastAsia" w:ascii="宋体" w:hAnsi="宋体"/>
                <w:bCs/>
                <w:szCs w:val="21"/>
                <w:highlight w:val="none"/>
              </w:rPr>
              <w:t>或类似好评</w:t>
            </w:r>
            <w:r>
              <w:rPr>
                <w:rFonts w:hint="eastAsia" w:ascii="宋体" w:hAnsi="宋体"/>
                <w:bCs/>
                <w:szCs w:val="21"/>
                <w:highlight w:val="none"/>
                <w:lang w:val="en-US" w:eastAsia="zh-CN"/>
              </w:rPr>
              <w:t>的</w:t>
            </w:r>
            <w:r>
              <w:rPr>
                <w:rFonts w:hint="eastAsia" w:ascii="宋体" w:hAnsi="宋体"/>
                <w:bCs/>
                <w:szCs w:val="21"/>
                <w:highlight w:val="none"/>
              </w:rPr>
              <w:t>：每提供一项得</w:t>
            </w:r>
            <w:r>
              <w:rPr>
                <w:rFonts w:hint="eastAsia" w:ascii="宋体" w:hAnsi="宋体"/>
                <w:bCs/>
                <w:szCs w:val="21"/>
                <w:highlight w:val="none"/>
                <w:lang w:val="en-US" w:eastAsia="zh-CN"/>
              </w:rPr>
              <w:t>1</w:t>
            </w:r>
            <w:r>
              <w:rPr>
                <w:rFonts w:hint="eastAsia" w:ascii="宋体" w:hAnsi="宋体"/>
                <w:bCs/>
                <w:szCs w:val="21"/>
                <w:highlight w:val="none"/>
              </w:rPr>
              <w:t>分，最高</w:t>
            </w:r>
            <w:r>
              <w:rPr>
                <w:rFonts w:hint="eastAsia" w:ascii="宋体" w:hAnsi="宋体"/>
                <w:bCs/>
                <w:szCs w:val="21"/>
                <w:highlight w:val="none"/>
                <w:lang w:val="en-US" w:eastAsia="zh-CN"/>
              </w:rPr>
              <w:t>3</w:t>
            </w:r>
            <w:r>
              <w:rPr>
                <w:rFonts w:hint="eastAsia" w:ascii="宋体" w:hAnsi="宋体"/>
                <w:bCs/>
                <w:szCs w:val="21"/>
                <w:highlight w:val="none"/>
              </w:rPr>
              <w:t>分。</w:t>
            </w:r>
          </w:p>
          <w:p>
            <w:pPr>
              <w:pStyle w:val="13"/>
              <w:keepNext w:val="0"/>
              <w:keepLines w:val="0"/>
              <w:pageBreakBefore w:val="0"/>
              <w:kinsoku/>
              <w:wordWrap/>
              <w:overflowPunct/>
              <w:topLinePunct w:val="0"/>
              <w:autoSpaceDE/>
              <w:autoSpaceDN/>
              <w:bidi w:val="0"/>
              <w:spacing w:line="360" w:lineRule="auto"/>
              <w:rPr>
                <w:rFonts w:hint="eastAsia" w:ascii="宋体" w:hAnsi="宋体" w:eastAsia="宋体" w:cs="宋体"/>
                <w:color w:val="000000"/>
                <w:highlight w:val="none"/>
                <w:lang w:val="en-US" w:eastAsia="zh-CN"/>
              </w:rPr>
            </w:pPr>
            <w:r>
              <w:rPr>
                <w:rFonts w:hint="eastAsia" w:ascii="宋体" w:hAnsi="宋体"/>
                <w:bCs/>
                <w:szCs w:val="21"/>
                <w:highlight w:val="none"/>
              </w:rPr>
              <w:t>备注：同一客户或同一项目提供多项用户满意度评价的，按一项计算</w:t>
            </w:r>
            <w:r>
              <w:rPr>
                <w:rFonts w:hint="eastAsia" w:ascii="宋体" w:hAnsi="宋体"/>
                <w:bCs/>
                <w:szCs w:val="21"/>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9" w:hRule="atLeast"/>
        </w:trPr>
        <w:tc>
          <w:tcPr>
            <w:tcW w:w="228"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3</w:t>
            </w:r>
          </w:p>
        </w:tc>
        <w:tc>
          <w:tcPr>
            <w:tcW w:w="522" w:type="pct"/>
            <w:tcBorders>
              <w:top w:val="single" w:color="000000" w:sz="8" w:space="0"/>
              <w:left w:val="single" w:color="000000" w:sz="8" w:space="0"/>
              <w:bottom w:val="single" w:color="000000" w:sz="8" w:space="0"/>
              <w:right w:val="single" w:color="000000" w:sz="8" w:space="0"/>
            </w:tcBorders>
            <w:noWrap/>
            <w:vAlign w:val="center"/>
          </w:tcPr>
          <w:p>
            <w:pPr>
              <w:pStyle w:val="13"/>
              <w:keepNext w:val="0"/>
              <w:keepLines w:val="0"/>
              <w:pageBreakBefore w:val="0"/>
              <w:kinsoku/>
              <w:wordWrap/>
              <w:overflowPunct/>
              <w:topLinePunct w:val="0"/>
              <w:autoSpaceDE/>
              <w:autoSpaceDN/>
              <w:bidi w:val="0"/>
              <w:spacing w:line="360" w:lineRule="auto"/>
              <w:jc w:val="center"/>
              <w:rPr>
                <w:rFonts w:ascii="宋体" w:hAnsi="宋体" w:cs="宋体"/>
                <w:color w:val="000000"/>
                <w:highlight w:val="none"/>
              </w:rPr>
            </w:pPr>
            <w:r>
              <w:rPr>
                <w:rFonts w:hint="eastAsia"/>
                <w:b w:val="0"/>
                <w:sz w:val="21"/>
                <w:szCs w:val="21"/>
              </w:rPr>
              <w:t>★</w:t>
            </w:r>
            <w:r>
              <w:rPr>
                <w:rFonts w:hint="eastAsia" w:ascii="宋体" w:hAnsi="宋体" w:cs="宋体"/>
                <w:color w:val="000000"/>
                <w:highlight w:val="none"/>
              </w:rPr>
              <w:t>实验室资质</w:t>
            </w:r>
          </w:p>
        </w:tc>
        <w:tc>
          <w:tcPr>
            <w:tcW w:w="346"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pacing w:line="360" w:lineRule="auto"/>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10</w:t>
            </w:r>
          </w:p>
        </w:tc>
        <w:tc>
          <w:tcPr>
            <w:tcW w:w="3902" w:type="pct"/>
            <w:tcBorders>
              <w:top w:val="single" w:color="000000" w:sz="8" w:space="0"/>
              <w:left w:val="single" w:color="000000" w:sz="8" w:space="0"/>
              <w:bottom w:val="single" w:color="000000" w:sz="8" w:space="0"/>
              <w:right w:val="single" w:color="000000" w:sz="8" w:space="0"/>
            </w:tcBorders>
            <w:noWrap/>
            <w:vAlign w:val="center"/>
          </w:tcPr>
          <w:p>
            <w:pPr>
              <w:pStyle w:val="13"/>
              <w:keepNext w:val="0"/>
              <w:keepLines w:val="0"/>
              <w:pageBreakBefore w:val="0"/>
              <w:kinsoku/>
              <w:wordWrap/>
              <w:overflowPunct/>
              <w:topLinePunct w:val="0"/>
              <w:autoSpaceDE/>
              <w:autoSpaceDN/>
              <w:bidi w:val="0"/>
              <w:spacing w:line="360" w:lineRule="auto"/>
              <w:rPr>
                <w:rFonts w:ascii="宋体" w:hAnsi="宋体" w:cs="宋体"/>
                <w:color w:val="000000"/>
                <w:highlight w:val="none"/>
              </w:rPr>
            </w:pPr>
            <w:r>
              <w:rPr>
                <w:rFonts w:hint="eastAsia"/>
                <w:b w:val="0"/>
                <w:sz w:val="21"/>
                <w:szCs w:val="21"/>
              </w:rPr>
              <w:t>★</w:t>
            </w:r>
            <w:r>
              <w:rPr>
                <w:rFonts w:hint="eastAsia" w:ascii="宋体" w:hAnsi="宋体" w:cs="宋体"/>
                <w:color w:val="000000"/>
                <w:highlight w:val="none"/>
                <w:lang w:val="en-US" w:eastAsia="zh-CN"/>
              </w:rPr>
              <w:t>1）</w:t>
            </w:r>
            <w:r>
              <w:rPr>
                <w:rFonts w:hint="eastAsia" w:ascii="宋体" w:hAnsi="宋体" w:cs="宋体"/>
                <w:color w:val="000000"/>
                <w:highlight w:val="none"/>
              </w:rPr>
              <w:t>能提供最新20</w:t>
            </w:r>
            <w:r>
              <w:rPr>
                <w:rFonts w:hint="eastAsia" w:ascii="宋体" w:hAnsi="宋体" w:cs="宋体"/>
                <w:color w:val="000000"/>
                <w:highlight w:val="none"/>
                <w:lang w:val="en-US" w:eastAsia="zh-CN"/>
              </w:rPr>
              <w:t>21</w:t>
            </w:r>
            <w:r>
              <w:rPr>
                <w:rFonts w:hint="eastAsia" w:ascii="宋体" w:hAnsi="宋体" w:cs="宋体"/>
                <w:color w:val="000000"/>
                <w:highlight w:val="none"/>
              </w:rPr>
              <w:t>年1月1日后通过的各项体检项目室间质评证书（如：常规化学、肿瘤标志物、糖化血红蛋白、脂类等室间质评证书等）。</w:t>
            </w:r>
          </w:p>
          <w:p>
            <w:pPr>
              <w:pStyle w:val="13"/>
              <w:keepNext w:val="0"/>
              <w:keepLines w:val="0"/>
              <w:pageBreakBefore w:val="0"/>
              <w:kinsoku/>
              <w:wordWrap/>
              <w:overflowPunct/>
              <w:topLinePunct w:val="0"/>
              <w:autoSpaceDE/>
              <w:autoSpaceDN/>
              <w:bidi w:val="0"/>
              <w:spacing w:line="360" w:lineRule="auto"/>
              <w:rPr>
                <w:rFonts w:hint="eastAsia" w:ascii="宋体" w:hAnsi="宋体" w:cs="宋体"/>
                <w:color w:val="000000"/>
                <w:highlight w:val="none"/>
              </w:rPr>
            </w:pPr>
            <w:r>
              <w:rPr>
                <w:rFonts w:hint="eastAsia" w:ascii="宋体" w:hAnsi="宋体" w:cs="宋体"/>
                <w:color w:val="000000"/>
                <w:highlight w:val="none"/>
              </w:rPr>
              <w:t>每提供1项国家级室间质评证书得1分</w:t>
            </w:r>
            <w:r>
              <w:rPr>
                <w:rFonts w:hint="eastAsia" w:ascii="宋体" w:hAnsi="宋体" w:cs="宋体"/>
                <w:color w:val="000000"/>
                <w:highlight w:val="none"/>
                <w:lang w:eastAsia="zh-CN"/>
              </w:rPr>
              <w:t>，</w:t>
            </w:r>
            <w:r>
              <w:rPr>
                <w:rFonts w:hint="eastAsia" w:ascii="宋体" w:hAnsi="宋体" w:cs="宋体"/>
                <w:color w:val="000000"/>
                <w:highlight w:val="none"/>
              </w:rPr>
              <w:t>每提供1项省级室间质评证书得0.5分，</w:t>
            </w:r>
            <w:r>
              <w:rPr>
                <w:rFonts w:hint="eastAsia" w:ascii="宋体" w:hAnsi="宋体" w:cs="宋体"/>
                <w:color w:val="000000"/>
                <w:highlight w:val="none"/>
                <w:lang w:val="en-US" w:eastAsia="zh-CN"/>
              </w:rPr>
              <w:t>满</w:t>
            </w:r>
            <w:r>
              <w:rPr>
                <w:rFonts w:hint="eastAsia" w:ascii="宋体" w:hAnsi="宋体" w:cs="宋体"/>
                <w:color w:val="000000"/>
                <w:highlight w:val="none"/>
              </w:rPr>
              <w:t>分</w:t>
            </w:r>
            <w:r>
              <w:rPr>
                <w:rFonts w:hint="eastAsia" w:ascii="宋体" w:hAnsi="宋体" w:cs="宋体"/>
                <w:color w:val="000000"/>
                <w:highlight w:val="none"/>
                <w:lang w:val="en-US" w:eastAsia="zh-CN"/>
              </w:rPr>
              <w:t>8</w:t>
            </w:r>
            <w:r>
              <w:rPr>
                <w:rFonts w:hint="eastAsia" w:ascii="宋体" w:hAnsi="宋体" w:cs="宋体"/>
                <w:color w:val="000000"/>
                <w:highlight w:val="none"/>
              </w:rPr>
              <w:t>分；</w:t>
            </w:r>
          </w:p>
          <w:p>
            <w:pPr>
              <w:pStyle w:val="13"/>
              <w:keepNext w:val="0"/>
              <w:keepLines w:val="0"/>
              <w:pageBreakBefore w:val="0"/>
              <w:kinsoku/>
              <w:wordWrap/>
              <w:overflowPunct/>
              <w:topLinePunct w:val="0"/>
              <w:autoSpaceDE/>
              <w:autoSpaceDN/>
              <w:bidi w:val="0"/>
              <w:spacing w:line="360" w:lineRule="auto"/>
              <w:rPr>
                <w:rFonts w:hint="default" w:ascii="宋体" w:hAnsi="宋体" w:eastAsia="宋体" w:cs="宋体"/>
                <w:color w:val="000000"/>
                <w:highlight w:val="none"/>
                <w:lang w:val="en-US" w:eastAsia="zh-CN"/>
              </w:rPr>
            </w:pPr>
            <w:r>
              <w:rPr>
                <w:rFonts w:hint="eastAsia"/>
                <w:b w:val="0"/>
                <w:sz w:val="21"/>
                <w:szCs w:val="21"/>
              </w:rPr>
              <w:t>★</w:t>
            </w:r>
            <w:r>
              <w:rPr>
                <w:rFonts w:hint="eastAsia" w:ascii="宋体" w:hAnsi="宋体" w:cs="宋体"/>
                <w:color w:val="000000"/>
                <w:highlight w:val="none"/>
                <w:lang w:val="en-US" w:eastAsia="zh-CN"/>
              </w:rPr>
              <w:t>2）检验实验室获得省级二级病原微生物实验室备案登记的得2分；（提供备案登记表表等证明类文件）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03" w:hRule="atLeast"/>
        </w:trPr>
        <w:tc>
          <w:tcPr>
            <w:tcW w:w="228" w:type="pct"/>
            <w:tcBorders>
              <w:top w:val="single" w:color="000000" w:sz="8" w:space="0"/>
              <w:left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4</w:t>
            </w:r>
          </w:p>
        </w:tc>
        <w:tc>
          <w:tcPr>
            <w:tcW w:w="522" w:type="pct"/>
            <w:tcBorders>
              <w:top w:val="single" w:color="000000" w:sz="8" w:space="0"/>
              <w:left w:val="single" w:color="000000" w:sz="8" w:space="0"/>
              <w:right w:val="single" w:color="000000" w:sz="8" w:space="0"/>
            </w:tcBorders>
            <w:noWrap/>
            <w:vAlign w:val="center"/>
          </w:tcPr>
          <w:p>
            <w:pPr>
              <w:pStyle w:val="13"/>
              <w:keepNext w:val="0"/>
              <w:keepLines w:val="0"/>
              <w:pageBreakBefore w:val="0"/>
              <w:kinsoku/>
              <w:wordWrap/>
              <w:overflowPunct/>
              <w:topLinePunct w:val="0"/>
              <w:autoSpaceDE/>
              <w:autoSpaceDN/>
              <w:bidi w:val="0"/>
              <w:spacing w:line="360" w:lineRule="auto"/>
              <w:jc w:val="center"/>
              <w:rPr>
                <w:rFonts w:ascii="新宋体" w:hAnsi="新宋体" w:eastAsia="新宋体" w:cs="新宋体"/>
                <w:color w:val="000000"/>
                <w:highlight w:val="none"/>
              </w:rPr>
            </w:pPr>
            <w:r>
              <w:rPr>
                <w:rFonts w:hint="eastAsia" w:ascii="新宋体" w:hAnsi="新宋体" w:eastAsia="新宋体" w:cs="新宋体"/>
                <w:color w:val="000000"/>
                <w:highlight w:val="none"/>
              </w:rPr>
              <w:t>体检便利性</w:t>
            </w:r>
          </w:p>
        </w:tc>
        <w:tc>
          <w:tcPr>
            <w:tcW w:w="346"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szCs w:val="21"/>
                <w:highlight w:val="none"/>
              </w:rPr>
            </w:pPr>
            <w:r>
              <w:rPr>
                <w:rFonts w:hint="eastAsia" w:ascii="宋体" w:hAnsi="宋体"/>
                <w:color w:val="000000"/>
                <w:szCs w:val="21"/>
                <w:highlight w:val="none"/>
              </w:rPr>
              <w:t>8</w:t>
            </w:r>
          </w:p>
        </w:tc>
        <w:tc>
          <w:tcPr>
            <w:tcW w:w="3902" w:type="pct"/>
            <w:tcBorders>
              <w:top w:val="single" w:color="000000" w:sz="8" w:space="0"/>
              <w:left w:val="single" w:color="000000" w:sz="8" w:space="0"/>
              <w:bottom w:val="single" w:color="000000" w:sz="8" w:space="0"/>
              <w:right w:val="single" w:color="000000" w:sz="8" w:space="0"/>
            </w:tcBorders>
            <w:noWrap/>
            <w:vAlign w:val="center"/>
          </w:tcPr>
          <w:p>
            <w:pPr>
              <w:pStyle w:val="13"/>
              <w:keepNext w:val="0"/>
              <w:keepLines w:val="0"/>
              <w:pageBreakBefore w:val="0"/>
              <w:numPr>
                <w:ilvl w:val="0"/>
                <w:numId w:val="0"/>
              </w:numPr>
              <w:kinsoku/>
              <w:wordWrap/>
              <w:overflowPunct/>
              <w:topLinePunct w:val="0"/>
              <w:autoSpaceDE/>
              <w:autoSpaceDN/>
              <w:bidi w:val="0"/>
              <w:spacing w:line="360" w:lineRule="auto"/>
              <w:rPr>
                <w:rFonts w:ascii="宋体" w:hAnsi="宋体" w:cs="宋体"/>
                <w:color w:val="000000"/>
                <w:highlight w:val="none"/>
              </w:rPr>
            </w:pPr>
            <w:r>
              <w:rPr>
                <w:rFonts w:hint="eastAsia" w:ascii="宋体" w:hAnsi="宋体" w:cs="宋体"/>
                <w:color w:val="000000"/>
                <w:highlight w:val="none"/>
                <w:lang w:val="en-US" w:eastAsia="zh-CN"/>
              </w:rPr>
              <w:t>评比供应商提供服务的便利性，</w:t>
            </w:r>
            <w:r>
              <w:rPr>
                <w:rFonts w:hint="eastAsia" w:ascii="宋体" w:hAnsi="宋体" w:cs="宋体"/>
                <w:color w:val="000000"/>
                <w:highlight w:val="none"/>
              </w:rPr>
              <w:t>广州</w:t>
            </w:r>
            <w:r>
              <w:rPr>
                <w:rFonts w:hint="eastAsia" w:ascii="宋体" w:hAnsi="宋体" w:cs="宋体"/>
                <w:color w:val="000000"/>
                <w:highlight w:val="none"/>
                <w:lang w:val="en-US" w:eastAsia="zh-CN"/>
              </w:rPr>
              <w:t>市辖所有区（天河、越秀、海珠、番禺、荔湾、白云、黄埔、花都、从化、增城、南沙区域内）内体检网点各区覆盖率达50%（含）以上的得8分，体检网点覆盖率在30%（含）-50%（不含）的得5分，体检网点覆盖率小于30%（不含）得2分，无则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5" w:hRule="atLeast"/>
        </w:trPr>
        <w:tc>
          <w:tcPr>
            <w:tcW w:w="228"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5</w:t>
            </w:r>
          </w:p>
        </w:tc>
        <w:tc>
          <w:tcPr>
            <w:tcW w:w="522" w:type="pct"/>
            <w:tcBorders>
              <w:top w:val="single" w:color="000000" w:sz="8" w:space="0"/>
              <w:left w:val="single" w:color="000000" w:sz="8" w:space="0"/>
              <w:bottom w:val="single" w:color="000000" w:sz="8" w:space="0"/>
              <w:right w:val="single" w:color="000000" w:sz="8" w:space="0"/>
            </w:tcBorders>
            <w:noWrap/>
            <w:vAlign w:val="center"/>
          </w:tcPr>
          <w:p>
            <w:pPr>
              <w:pStyle w:val="13"/>
              <w:keepNext w:val="0"/>
              <w:keepLines w:val="0"/>
              <w:pageBreakBefore w:val="0"/>
              <w:kinsoku/>
              <w:wordWrap/>
              <w:overflowPunct/>
              <w:topLinePunct w:val="0"/>
              <w:autoSpaceDE/>
              <w:autoSpaceDN/>
              <w:bidi w:val="0"/>
              <w:spacing w:line="360" w:lineRule="auto"/>
              <w:jc w:val="center"/>
              <w:rPr>
                <w:rFonts w:ascii="宋体" w:hAnsi="宋体" w:cs="宋体"/>
                <w:color w:val="000000"/>
                <w:highlight w:val="none"/>
              </w:rPr>
            </w:pPr>
            <w:r>
              <w:rPr>
                <w:rFonts w:hint="eastAsia" w:ascii="宋体" w:hAnsi="宋体" w:cs="宋体"/>
                <w:color w:val="000000"/>
                <w:highlight w:val="none"/>
              </w:rPr>
              <w:t>企业资质与诚信</w:t>
            </w:r>
          </w:p>
        </w:tc>
        <w:tc>
          <w:tcPr>
            <w:tcW w:w="346" w:type="pct"/>
            <w:tcBorders>
              <w:top w:val="single" w:color="000000" w:sz="8" w:space="0"/>
              <w:left w:val="single" w:color="000000" w:sz="8" w:space="0"/>
              <w:bottom w:val="single" w:color="000000" w:sz="8" w:space="0"/>
              <w:right w:val="single" w:color="000000" w:sz="8" w:space="0"/>
            </w:tcBorders>
            <w:noWrap/>
            <w:vAlign w:val="center"/>
          </w:tcPr>
          <w:p>
            <w:pPr>
              <w:keepNext w:val="0"/>
              <w:keepLines w:val="0"/>
              <w:pageBreakBefore w:val="0"/>
              <w:kinsoku/>
              <w:wordWrap/>
              <w:overflowPunct/>
              <w:topLinePunct w:val="0"/>
              <w:autoSpaceDE/>
              <w:autoSpaceDN/>
              <w:bidi w:val="0"/>
              <w:snapToGrid w:val="0"/>
              <w:spacing w:line="360" w:lineRule="auto"/>
              <w:ind w:left="-78" w:leftChars="-37" w:right="-29" w:rightChars="-14"/>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11</w:t>
            </w:r>
          </w:p>
        </w:tc>
        <w:tc>
          <w:tcPr>
            <w:tcW w:w="3902" w:type="pct"/>
            <w:tcBorders>
              <w:top w:val="single" w:color="000000" w:sz="8" w:space="0"/>
              <w:left w:val="single" w:color="000000" w:sz="8" w:space="0"/>
              <w:bottom w:val="single" w:color="000000" w:sz="8" w:space="0"/>
              <w:right w:val="single" w:color="000000" w:sz="8" w:space="0"/>
            </w:tcBorders>
            <w:noWrap/>
            <w:vAlign w:val="center"/>
          </w:tcPr>
          <w:p>
            <w:pPr>
              <w:pStyle w:val="13"/>
              <w:keepNext w:val="0"/>
              <w:keepLines w:val="0"/>
              <w:pageBreakBefore w:val="0"/>
              <w:numPr>
                <w:ilvl w:val="0"/>
                <w:numId w:val="1"/>
              </w:numPr>
              <w:kinsoku/>
              <w:wordWrap/>
              <w:overflowPunct/>
              <w:topLinePunct w:val="0"/>
              <w:autoSpaceDE/>
              <w:autoSpaceDN/>
              <w:bidi w:val="0"/>
              <w:spacing w:line="360" w:lineRule="auto"/>
              <w:rPr>
                <w:rFonts w:hint="eastAsia" w:ascii="宋体" w:hAnsi="宋体" w:cs="宋体"/>
                <w:color w:val="000000"/>
                <w:highlight w:val="none"/>
              </w:rPr>
            </w:pPr>
            <w:r>
              <w:rPr>
                <w:rFonts w:hint="eastAsia" w:ascii="宋体" w:hAnsi="宋体" w:cs="宋体"/>
                <w:color w:val="000000"/>
                <w:highlight w:val="none"/>
              </w:rPr>
              <w:t>获得ISO</w:t>
            </w:r>
            <w:r>
              <w:rPr>
                <w:rFonts w:hint="eastAsia" w:ascii="宋体" w:hAnsi="宋体" w:cs="宋体"/>
                <w:color w:val="000000"/>
                <w:highlight w:val="none"/>
                <w:lang w:val="en-US" w:eastAsia="zh-CN"/>
              </w:rPr>
              <w:t>9001质量</w:t>
            </w:r>
            <w:r>
              <w:rPr>
                <w:rFonts w:hint="eastAsia" w:ascii="宋体" w:hAnsi="宋体" w:cs="宋体"/>
                <w:color w:val="000000"/>
                <w:highlight w:val="none"/>
              </w:rPr>
              <w:t>管理类体系认证的，得</w:t>
            </w:r>
            <w:r>
              <w:rPr>
                <w:rFonts w:hint="eastAsia" w:ascii="宋体" w:hAnsi="宋体" w:cs="宋体"/>
                <w:color w:val="000000"/>
                <w:highlight w:val="none"/>
                <w:lang w:val="en-US" w:eastAsia="zh-CN"/>
              </w:rPr>
              <w:t>3</w:t>
            </w:r>
            <w:r>
              <w:rPr>
                <w:rFonts w:hint="eastAsia" w:ascii="宋体" w:hAnsi="宋体" w:cs="宋体"/>
                <w:color w:val="000000"/>
                <w:highlight w:val="none"/>
              </w:rPr>
              <w:t>分。</w:t>
            </w:r>
          </w:p>
          <w:p>
            <w:pPr>
              <w:pStyle w:val="13"/>
              <w:keepNext w:val="0"/>
              <w:keepLines w:val="0"/>
              <w:pageBreakBefore w:val="0"/>
              <w:numPr>
                <w:ilvl w:val="0"/>
                <w:numId w:val="1"/>
              </w:numPr>
              <w:kinsoku/>
              <w:wordWrap/>
              <w:overflowPunct/>
              <w:topLinePunct w:val="0"/>
              <w:autoSpaceDE/>
              <w:autoSpaceDN/>
              <w:bidi w:val="0"/>
              <w:spacing w:line="360" w:lineRule="auto"/>
              <w:rPr>
                <w:rFonts w:hint="eastAsia" w:ascii="宋体" w:hAnsi="宋体" w:cs="宋体"/>
                <w:color w:val="000000"/>
                <w:highlight w:val="none"/>
              </w:rPr>
            </w:pPr>
            <w:r>
              <w:rPr>
                <w:rFonts w:hint="eastAsia" w:ascii="宋体" w:hAnsi="宋体" w:cs="宋体"/>
                <w:color w:val="000000"/>
                <w:highlight w:val="none"/>
                <w:lang w:val="en-US" w:eastAsia="zh-CN"/>
              </w:rPr>
              <w:t>获得ISO14001环境管理体系认证的，得3分。</w:t>
            </w:r>
          </w:p>
          <w:p>
            <w:pPr>
              <w:pStyle w:val="13"/>
              <w:keepNext w:val="0"/>
              <w:keepLines w:val="0"/>
              <w:pageBreakBefore w:val="0"/>
              <w:numPr>
                <w:ilvl w:val="0"/>
                <w:numId w:val="1"/>
              </w:numPr>
              <w:kinsoku/>
              <w:wordWrap/>
              <w:overflowPunct/>
              <w:topLinePunct w:val="0"/>
              <w:autoSpaceDE/>
              <w:autoSpaceDN/>
              <w:bidi w:val="0"/>
              <w:spacing w:line="360" w:lineRule="auto"/>
              <w:rPr>
                <w:rFonts w:hint="eastAsia" w:ascii="宋体" w:hAnsi="宋体" w:cs="宋体"/>
                <w:color w:val="000000"/>
                <w:highlight w:val="none"/>
              </w:rPr>
            </w:pPr>
            <w:r>
              <w:rPr>
                <w:rFonts w:hint="eastAsia" w:ascii="宋体" w:hAnsi="宋体" w:cs="宋体"/>
                <w:color w:val="000000"/>
                <w:highlight w:val="none"/>
                <w:lang w:val="en-US" w:eastAsia="zh-CN"/>
              </w:rPr>
              <w:t>获得ISO45001职业健康安全管理体系认证的，得3分</w:t>
            </w:r>
          </w:p>
          <w:p>
            <w:pPr>
              <w:pStyle w:val="13"/>
              <w:keepNext w:val="0"/>
              <w:keepLines w:val="0"/>
              <w:pageBreakBefore w:val="0"/>
              <w:kinsoku/>
              <w:wordWrap/>
              <w:overflowPunct/>
              <w:topLinePunct w:val="0"/>
              <w:autoSpaceDE/>
              <w:autoSpaceDN/>
              <w:bidi w:val="0"/>
              <w:spacing w:line="360" w:lineRule="auto"/>
              <w:rPr>
                <w:rFonts w:ascii="宋体" w:hAnsi="宋体" w:cs="宋体"/>
                <w:color w:val="000000"/>
                <w:highlight w:val="none"/>
              </w:rPr>
            </w:pPr>
            <w:r>
              <w:rPr>
                <w:rFonts w:hint="eastAsia" w:ascii="宋体" w:hAnsi="宋体" w:cs="宋体"/>
                <w:color w:val="000000"/>
                <w:highlight w:val="none"/>
                <w:lang w:val="en-US" w:eastAsia="zh-CN"/>
              </w:rPr>
              <w:t>4</w:t>
            </w:r>
            <w:r>
              <w:rPr>
                <w:rFonts w:hint="eastAsia" w:ascii="宋体" w:hAnsi="宋体" w:cs="宋体"/>
                <w:color w:val="000000"/>
                <w:highlight w:val="none"/>
              </w:rPr>
              <w:t>）</w:t>
            </w:r>
            <w:r>
              <w:rPr>
                <w:rFonts w:hint="eastAsia" w:ascii="宋体" w:hAnsi="宋体" w:cs="宋体"/>
                <w:color w:val="000000"/>
                <w:highlight w:val="none"/>
                <w:lang w:val="en-US" w:eastAsia="zh-CN"/>
              </w:rPr>
              <w:t>供应商主体</w:t>
            </w:r>
            <w:r>
              <w:rPr>
                <w:rFonts w:hint="eastAsia" w:ascii="宋体" w:hAnsi="宋体" w:cs="宋体"/>
                <w:color w:val="000000"/>
                <w:highlight w:val="none"/>
              </w:rPr>
              <w:t>获得AAA级认证服务的得2分，无提供不得分。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9" w:hRule="atLeast"/>
        </w:trPr>
        <w:tc>
          <w:tcPr>
            <w:tcW w:w="750" w:type="pct"/>
            <w:gridSpan w:val="2"/>
            <w:tcBorders>
              <w:left w:val="single" w:color="000000" w:sz="8" w:space="0"/>
              <w:bottom w:val="single" w:color="000000" w:sz="8" w:space="0"/>
              <w:right w:val="single" w:color="000000" w:sz="8" w:space="0"/>
            </w:tcBorders>
            <w:shd w:val="clear" w:color="auto" w:fill="C5E0B3" w:themeFill="accent6" w:themeFillTint="66"/>
            <w:noWrap/>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szCs w:val="21"/>
              </w:rPr>
            </w:pPr>
            <w:r>
              <w:rPr>
                <w:rFonts w:hint="eastAsia" w:ascii="宋体" w:hAnsi="宋体" w:cs="宋体"/>
                <w:b/>
                <w:color w:val="000000"/>
                <w:szCs w:val="21"/>
              </w:rPr>
              <w:t>合计</w:t>
            </w:r>
          </w:p>
        </w:tc>
        <w:tc>
          <w:tcPr>
            <w:tcW w:w="346" w:type="pct"/>
            <w:tcBorders>
              <w:left w:val="single" w:color="000000" w:sz="8" w:space="0"/>
              <w:bottom w:val="single" w:color="000000" w:sz="8" w:space="0"/>
              <w:right w:val="single" w:color="000000" w:sz="8" w:space="0"/>
            </w:tcBorders>
            <w:shd w:val="clear" w:color="auto" w:fill="C5E0B3" w:themeFill="accent6" w:themeFillTint="66"/>
            <w:noWrap/>
            <w:vAlign w:val="center"/>
          </w:tcPr>
          <w:p>
            <w:pPr>
              <w:keepNext w:val="0"/>
              <w:keepLines w:val="0"/>
              <w:pageBreakBefore w:val="0"/>
              <w:kinsoku/>
              <w:wordWrap/>
              <w:overflowPunct/>
              <w:topLinePunct w:val="0"/>
              <w:autoSpaceDE/>
              <w:autoSpaceDN/>
              <w:bidi w:val="0"/>
              <w:spacing w:line="360" w:lineRule="auto"/>
              <w:jc w:val="center"/>
              <w:rPr>
                <w:rFonts w:ascii="宋体" w:hAnsi="宋体"/>
                <w:color w:val="000000"/>
                <w:szCs w:val="21"/>
              </w:rPr>
            </w:pPr>
            <w:r>
              <w:rPr>
                <w:rFonts w:hint="eastAsia" w:ascii="宋体" w:hAnsi="宋体" w:cs="宋体"/>
                <w:b/>
                <w:color w:val="000000"/>
                <w:szCs w:val="21"/>
              </w:rPr>
              <w:t>40分</w:t>
            </w:r>
          </w:p>
        </w:tc>
        <w:tc>
          <w:tcPr>
            <w:tcW w:w="3902" w:type="pct"/>
            <w:tcBorders>
              <w:left w:val="single" w:color="000000" w:sz="8" w:space="0"/>
              <w:bottom w:val="single" w:color="000000" w:sz="8" w:space="0"/>
              <w:right w:val="single" w:color="000000" w:sz="8" w:space="0"/>
            </w:tcBorders>
            <w:shd w:val="clear" w:color="auto" w:fill="C5E0B3" w:themeFill="accent6" w:themeFillTint="66"/>
            <w:noWrap/>
            <w:vAlign w:val="center"/>
          </w:tcPr>
          <w:p>
            <w:pPr>
              <w:keepNext w:val="0"/>
              <w:keepLines w:val="0"/>
              <w:pageBreakBefore w:val="0"/>
              <w:kinsoku/>
              <w:wordWrap/>
              <w:overflowPunct/>
              <w:topLinePunct w:val="0"/>
              <w:autoSpaceDE/>
              <w:autoSpaceDN/>
              <w:bidi w:val="0"/>
              <w:spacing w:line="360" w:lineRule="auto"/>
              <w:rPr>
                <w:rFonts w:ascii="宋体" w:hAnsi="宋体"/>
                <w:color w:val="000000"/>
                <w:szCs w:val="21"/>
              </w:rPr>
            </w:pPr>
          </w:p>
        </w:tc>
      </w:tr>
    </w:tbl>
    <w:p>
      <w:pPr>
        <w:spacing w:line="360" w:lineRule="auto"/>
        <w:jc w:val="left"/>
        <w:rPr>
          <w:rFonts w:ascii="宋体" w:hAnsi="宋体"/>
          <w:b/>
          <w:szCs w:val="21"/>
        </w:rPr>
      </w:pPr>
      <w:r>
        <w:rPr>
          <w:rFonts w:hint="eastAsia" w:ascii="宋体" w:hAnsi="宋体"/>
          <w:b/>
          <w:szCs w:val="21"/>
        </w:rPr>
        <w:t>注：评委按分项的规定分数范围内给各报价人打分，并统计总分。</w:t>
      </w:r>
    </w:p>
    <w:p/>
    <w:p>
      <w:pPr>
        <w:spacing w:line="360" w:lineRule="auto"/>
        <w:jc w:val="center"/>
        <w:rPr>
          <w:rFonts w:hint="eastAsia" w:ascii="黑体" w:hAnsi="黑体" w:eastAsia="黑体" w:cs="黑体"/>
          <w:b/>
          <w:sz w:val="32"/>
          <w:szCs w:val="32"/>
        </w:rPr>
      </w:pPr>
      <w:r>
        <w:rPr>
          <w:rFonts w:hint="eastAsia" w:ascii="黑体" w:hAnsi="黑体" w:eastAsia="黑体" w:cs="黑体"/>
          <w:b/>
          <w:sz w:val="32"/>
          <w:szCs w:val="32"/>
        </w:rPr>
        <w:t>技术评审表</w:t>
      </w:r>
    </w:p>
    <w:p>
      <w:pPr>
        <w:pStyle w:val="6"/>
        <w:rPr>
          <w:rFonts w:hint="eastAsia"/>
        </w:rPr>
      </w:pPr>
    </w:p>
    <w:tbl>
      <w:tblPr>
        <w:tblStyle w:val="11"/>
        <w:tblW w:w="1009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59"/>
        <w:gridCol w:w="709"/>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blHeader/>
        </w:trPr>
        <w:tc>
          <w:tcPr>
            <w:tcW w:w="647" w:type="dxa"/>
            <w:shd w:val="clear" w:color="auto" w:fill="D7D7D7"/>
            <w:noWrap/>
            <w:vAlign w:val="center"/>
          </w:tcPr>
          <w:p>
            <w:pPr>
              <w:spacing w:line="360" w:lineRule="auto"/>
              <w:jc w:val="center"/>
              <w:rPr>
                <w:rFonts w:ascii="宋体" w:hAnsi="宋体" w:cs="宋体"/>
                <w:b/>
                <w:color w:val="000000"/>
                <w:sz w:val="20"/>
                <w:szCs w:val="21"/>
              </w:rPr>
            </w:pPr>
            <w:r>
              <w:rPr>
                <w:rFonts w:hint="eastAsia" w:ascii="宋体" w:hAnsi="宋体" w:cs="宋体"/>
                <w:b/>
                <w:color w:val="000000"/>
                <w:sz w:val="20"/>
                <w:szCs w:val="21"/>
              </w:rPr>
              <w:t>序号</w:t>
            </w:r>
          </w:p>
        </w:tc>
        <w:tc>
          <w:tcPr>
            <w:tcW w:w="1559" w:type="dxa"/>
            <w:shd w:val="clear" w:color="auto" w:fill="D7D7D7"/>
            <w:noWrap/>
            <w:vAlign w:val="center"/>
          </w:tcPr>
          <w:p>
            <w:pPr>
              <w:spacing w:line="360" w:lineRule="auto"/>
              <w:jc w:val="center"/>
              <w:rPr>
                <w:rFonts w:ascii="宋体" w:hAnsi="宋体" w:cs="宋体"/>
                <w:b/>
                <w:color w:val="000000"/>
                <w:sz w:val="20"/>
                <w:szCs w:val="21"/>
              </w:rPr>
            </w:pPr>
            <w:r>
              <w:rPr>
                <w:rFonts w:hint="eastAsia" w:ascii="宋体" w:hAnsi="宋体" w:cs="宋体"/>
                <w:b/>
                <w:color w:val="000000"/>
                <w:sz w:val="20"/>
                <w:szCs w:val="21"/>
              </w:rPr>
              <w:t>评审项目</w:t>
            </w:r>
          </w:p>
        </w:tc>
        <w:tc>
          <w:tcPr>
            <w:tcW w:w="709" w:type="dxa"/>
            <w:shd w:val="clear" w:color="auto" w:fill="D7D7D7"/>
            <w:noWrap/>
            <w:vAlign w:val="center"/>
          </w:tcPr>
          <w:p>
            <w:pPr>
              <w:spacing w:line="360" w:lineRule="auto"/>
              <w:jc w:val="center"/>
              <w:rPr>
                <w:rFonts w:ascii="宋体" w:hAnsi="宋体" w:cs="宋体"/>
                <w:b/>
                <w:color w:val="000000"/>
                <w:sz w:val="20"/>
                <w:szCs w:val="21"/>
              </w:rPr>
            </w:pPr>
            <w:r>
              <w:rPr>
                <w:rFonts w:hint="eastAsia" w:ascii="宋体" w:hAnsi="宋体" w:cs="宋体"/>
                <w:b/>
                <w:color w:val="000000"/>
                <w:sz w:val="20"/>
                <w:szCs w:val="21"/>
              </w:rPr>
              <w:t>分值</w:t>
            </w:r>
          </w:p>
        </w:tc>
        <w:tc>
          <w:tcPr>
            <w:tcW w:w="7179" w:type="dxa"/>
            <w:shd w:val="clear" w:color="auto" w:fill="D7D7D7"/>
            <w:noWrap/>
            <w:vAlign w:val="center"/>
          </w:tcPr>
          <w:p>
            <w:pPr>
              <w:spacing w:line="360" w:lineRule="auto"/>
              <w:jc w:val="center"/>
              <w:rPr>
                <w:rFonts w:ascii="宋体" w:hAnsi="宋体" w:cs="宋体"/>
                <w:b/>
                <w:color w:val="000000"/>
                <w:sz w:val="20"/>
                <w:szCs w:val="21"/>
              </w:rPr>
            </w:pPr>
            <w:r>
              <w:rPr>
                <w:rFonts w:hint="eastAsia" w:ascii="宋体" w:hAnsi="宋体" w:cs="宋体"/>
                <w:b/>
                <w:color w:val="000000"/>
                <w:sz w:val="2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647" w:type="dxa"/>
            <w:noWrap/>
            <w:vAlign w:val="center"/>
          </w:tcPr>
          <w:p>
            <w:pPr>
              <w:pStyle w:val="14"/>
              <w:spacing w:line="360" w:lineRule="auto"/>
              <w:jc w:val="center"/>
              <w:rPr>
                <w:rFonts w:hint="eastAsia" w:ascii="宋体" w:hAnsi="宋体" w:eastAsia="宋体" w:cs="宋体"/>
                <w:color w:val="000000"/>
                <w:sz w:val="20"/>
                <w:lang w:val="en-US" w:eastAsia="zh-CN"/>
              </w:rPr>
            </w:pPr>
            <w:r>
              <w:rPr>
                <w:rFonts w:hint="eastAsia" w:ascii="宋体" w:hAnsi="宋体" w:cs="宋体"/>
                <w:color w:val="000000"/>
                <w:sz w:val="20"/>
                <w:lang w:val="en-US" w:eastAsia="zh-CN"/>
              </w:rPr>
              <w:t>1</w:t>
            </w:r>
          </w:p>
        </w:tc>
        <w:tc>
          <w:tcPr>
            <w:tcW w:w="1559" w:type="dxa"/>
            <w:noWrap/>
            <w:vAlign w:val="center"/>
          </w:tcPr>
          <w:p>
            <w:pPr>
              <w:pStyle w:val="7"/>
              <w:spacing w:line="360" w:lineRule="auto"/>
              <w:jc w:val="center"/>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需求响应程度</w:t>
            </w:r>
          </w:p>
        </w:tc>
        <w:tc>
          <w:tcPr>
            <w:tcW w:w="709" w:type="dxa"/>
            <w:noWrap/>
            <w:vAlign w:val="center"/>
          </w:tcPr>
          <w:p>
            <w:pPr>
              <w:pStyle w:val="14"/>
              <w:spacing w:line="360" w:lineRule="auto"/>
              <w:jc w:val="center"/>
              <w:rPr>
                <w:rFonts w:ascii="宋体" w:hAnsi="宋体"/>
                <w:color w:val="000000"/>
                <w:sz w:val="20"/>
              </w:rPr>
            </w:pPr>
            <w:r>
              <w:rPr>
                <w:rFonts w:hint="eastAsia" w:ascii="宋体" w:hAnsi="宋体"/>
                <w:color w:val="000000"/>
                <w:sz w:val="20"/>
              </w:rPr>
              <w:t>6</w:t>
            </w:r>
          </w:p>
        </w:tc>
        <w:tc>
          <w:tcPr>
            <w:tcW w:w="7179" w:type="dxa"/>
            <w:noWrap/>
            <w:vAlign w:val="center"/>
          </w:tcPr>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zh-CN"/>
              </w:rPr>
              <w:t>1.完全满足或有优于用户需求的，得</w:t>
            </w:r>
            <w:r>
              <w:rPr>
                <w:rFonts w:hint="eastAsia" w:ascii="宋体" w:hAnsi="宋体" w:cs="宋体"/>
                <w:color w:val="000000"/>
                <w:sz w:val="20"/>
                <w:szCs w:val="21"/>
                <w:lang w:val="en-US" w:eastAsia="zh-CN"/>
              </w:rPr>
              <w:t>6</w:t>
            </w:r>
            <w:r>
              <w:rPr>
                <w:rFonts w:hint="eastAsia" w:ascii="宋体" w:hAnsi="宋体" w:cs="宋体"/>
                <w:color w:val="000000"/>
                <w:sz w:val="20"/>
                <w:szCs w:val="21"/>
                <w:lang w:val="zh-CN"/>
              </w:rPr>
              <w:t>分；</w:t>
            </w:r>
          </w:p>
          <w:p>
            <w:pPr>
              <w:spacing w:line="360" w:lineRule="auto"/>
              <w:rPr>
                <w:rFonts w:ascii="宋体" w:hAnsi="宋体" w:cs="宋体"/>
                <w:color w:val="000000"/>
                <w:sz w:val="20"/>
                <w:szCs w:val="21"/>
                <w:lang w:val="zh-CN"/>
              </w:rPr>
            </w:pPr>
            <w:r>
              <w:rPr>
                <w:rFonts w:hint="eastAsia" w:ascii="宋体" w:hAnsi="宋体" w:cs="宋体"/>
                <w:color w:val="000000"/>
                <w:sz w:val="20"/>
                <w:szCs w:val="21"/>
                <w:lang w:val="zh-CN"/>
              </w:rPr>
              <w:t>2.有不响应用户需求的，每一条服务参数不响应扣</w:t>
            </w:r>
            <w:r>
              <w:rPr>
                <w:rFonts w:hint="eastAsia" w:ascii="宋体" w:hAnsi="宋体" w:cs="宋体"/>
                <w:color w:val="000000"/>
                <w:sz w:val="20"/>
                <w:szCs w:val="21"/>
                <w:lang w:val="en-US" w:eastAsia="zh-CN"/>
              </w:rPr>
              <w:t>0.5</w:t>
            </w:r>
            <w:r>
              <w:rPr>
                <w:rFonts w:hint="eastAsia" w:ascii="宋体" w:hAnsi="宋体" w:cs="宋体"/>
                <w:color w:val="000000"/>
                <w:sz w:val="20"/>
                <w:szCs w:val="21"/>
                <w:lang w:val="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647" w:type="dxa"/>
            <w:noWrap/>
            <w:vAlign w:val="center"/>
          </w:tcPr>
          <w:p>
            <w:pPr>
              <w:pStyle w:val="14"/>
              <w:spacing w:line="360" w:lineRule="auto"/>
              <w:jc w:val="center"/>
              <w:rPr>
                <w:rFonts w:ascii="宋体" w:hAnsi="宋体" w:cs="宋体"/>
                <w:color w:val="000000"/>
                <w:sz w:val="20"/>
              </w:rPr>
            </w:pPr>
            <w:r>
              <w:rPr>
                <w:rFonts w:ascii="宋体" w:hAnsi="宋体" w:cs="宋体"/>
                <w:color w:val="000000"/>
                <w:sz w:val="20"/>
              </w:rPr>
              <w:t>2</w:t>
            </w:r>
          </w:p>
        </w:tc>
        <w:tc>
          <w:tcPr>
            <w:tcW w:w="1559" w:type="dxa"/>
            <w:noWrap/>
            <w:vAlign w:val="center"/>
          </w:tcPr>
          <w:p>
            <w:pPr>
              <w:pStyle w:val="7"/>
              <w:spacing w:line="360" w:lineRule="auto"/>
              <w:jc w:val="center"/>
              <w:rPr>
                <w:rFonts w:hint="eastAsia" w:ascii="宋体" w:hAnsi="宋体" w:eastAsia="宋体" w:cs="宋体"/>
                <w:sz w:val="20"/>
                <w:szCs w:val="21"/>
              </w:rPr>
            </w:pPr>
            <w:r>
              <w:rPr>
                <w:rFonts w:hint="eastAsia" w:ascii="宋体" w:hAnsi="宋体" w:eastAsia="宋体" w:cs="宋体"/>
                <w:sz w:val="20"/>
                <w:szCs w:val="21"/>
              </w:rPr>
              <w:t>体检流程方案</w:t>
            </w:r>
          </w:p>
        </w:tc>
        <w:tc>
          <w:tcPr>
            <w:tcW w:w="709" w:type="dxa"/>
            <w:noWrap/>
            <w:vAlign w:val="center"/>
          </w:tcPr>
          <w:p>
            <w:pPr>
              <w:pStyle w:val="14"/>
              <w:spacing w:line="360" w:lineRule="auto"/>
              <w:jc w:val="center"/>
              <w:rPr>
                <w:rFonts w:hint="default" w:ascii="宋体" w:hAnsi="宋体" w:eastAsia="宋体"/>
                <w:color w:val="000000"/>
                <w:sz w:val="20"/>
                <w:lang w:val="en-US" w:eastAsia="zh-CN"/>
              </w:rPr>
            </w:pPr>
            <w:r>
              <w:rPr>
                <w:rFonts w:hint="eastAsia" w:ascii="宋体" w:hAnsi="宋体"/>
                <w:color w:val="000000"/>
                <w:sz w:val="20"/>
                <w:lang w:val="en-US" w:eastAsia="zh-CN"/>
              </w:rPr>
              <w:t>10</w:t>
            </w:r>
          </w:p>
        </w:tc>
        <w:tc>
          <w:tcPr>
            <w:tcW w:w="7179" w:type="dxa"/>
            <w:noWrap/>
            <w:vAlign w:val="center"/>
          </w:tcPr>
          <w:p>
            <w:pPr>
              <w:spacing w:line="360" w:lineRule="auto"/>
              <w:rPr>
                <w:rFonts w:ascii="宋体" w:hAnsi="宋体" w:cs="宋体"/>
                <w:color w:val="000000"/>
                <w:sz w:val="20"/>
                <w:szCs w:val="21"/>
                <w:lang w:val="zh-CN"/>
              </w:rPr>
            </w:pPr>
            <w:r>
              <w:rPr>
                <w:rFonts w:hint="eastAsia" w:ascii="宋体" w:hAnsi="宋体" w:cs="宋体"/>
                <w:color w:val="000000"/>
                <w:sz w:val="20"/>
                <w:szCs w:val="21"/>
                <w:lang w:val="zh-CN"/>
              </w:rPr>
              <w:t>横向对比</w:t>
            </w:r>
            <w:r>
              <w:rPr>
                <w:rFonts w:hint="eastAsia" w:ascii="宋体" w:hAnsi="宋体" w:cs="宋体"/>
                <w:color w:val="000000"/>
                <w:sz w:val="20"/>
                <w:szCs w:val="21"/>
              </w:rPr>
              <w:t>有效报价供应商</w:t>
            </w:r>
            <w:r>
              <w:rPr>
                <w:rFonts w:hint="eastAsia" w:ascii="宋体" w:hAnsi="宋体" w:cs="宋体"/>
                <w:color w:val="000000"/>
                <w:sz w:val="20"/>
                <w:szCs w:val="21"/>
                <w:lang w:val="zh-CN"/>
              </w:rPr>
              <w:t>体检</w:t>
            </w:r>
            <w:r>
              <w:rPr>
                <w:rFonts w:hint="eastAsia" w:ascii="宋体" w:hAnsi="宋体" w:cs="新宋体"/>
                <w:color w:val="000000"/>
                <w:sz w:val="20"/>
                <w:szCs w:val="21"/>
              </w:rPr>
              <w:t>服务方案，</w:t>
            </w:r>
            <w:r>
              <w:rPr>
                <w:rFonts w:hint="eastAsia" w:ascii="宋体" w:hAnsi="宋体" w:cs="宋体"/>
                <w:color w:val="000000"/>
                <w:sz w:val="20"/>
                <w:szCs w:val="21"/>
                <w:lang w:val="zh-CN"/>
              </w:rPr>
              <w:t>服务方案应最大限度满足采购人需求，</w:t>
            </w:r>
            <w:r>
              <w:rPr>
                <w:rFonts w:hint="eastAsia" w:ascii="宋体" w:hAnsi="宋体" w:cs="新宋体"/>
                <w:color w:val="000000"/>
                <w:sz w:val="20"/>
                <w:szCs w:val="21"/>
              </w:rPr>
              <w:t>包括运作流程、现场导诊服务</w:t>
            </w:r>
            <w:r>
              <w:rPr>
                <w:rFonts w:hint="eastAsia" w:ascii="宋体" w:hAnsi="宋体" w:cs="宋体"/>
                <w:color w:val="000000"/>
                <w:sz w:val="20"/>
                <w:szCs w:val="21"/>
                <w:lang w:val="zh-CN"/>
              </w:rPr>
              <w:t>等。</w:t>
            </w:r>
          </w:p>
          <w:p>
            <w:pPr>
              <w:spacing w:line="360" w:lineRule="auto"/>
              <w:rPr>
                <w:rFonts w:ascii="宋体" w:hAnsi="宋体" w:cs="宋体"/>
                <w:color w:val="000000"/>
                <w:sz w:val="20"/>
                <w:szCs w:val="21"/>
                <w:lang w:val="zh-CN"/>
              </w:rPr>
            </w:pPr>
            <w:r>
              <w:rPr>
                <w:rFonts w:hint="eastAsia" w:ascii="宋体" w:hAnsi="宋体" w:cs="宋体"/>
                <w:color w:val="000000"/>
                <w:sz w:val="20"/>
                <w:szCs w:val="21"/>
                <w:lang w:val="zh-CN"/>
              </w:rPr>
              <w:t>优（</w:t>
            </w:r>
            <w:r>
              <w:rPr>
                <w:rFonts w:hint="eastAsia" w:ascii="宋体" w:hAnsi="宋体" w:cs="宋体"/>
                <w:color w:val="000000"/>
                <w:sz w:val="20"/>
                <w:szCs w:val="21"/>
                <w:lang w:val="en-US" w:eastAsia="zh-CN"/>
              </w:rPr>
              <w:t>10</w:t>
            </w:r>
            <w:r>
              <w:rPr>
                <w:rFonts w:hint="eastAsia" w:ascii="宋体" w:hAnsi="宋体" w:cs="宋体"/>
                <w:color w:val="000000"/>
                <w:sz w:val="20"/>
                <w:szCs w:val="21"/>
                <w:lang w:val="zh-CN"/>
              </w:rPr>
              <w:t>分）：服务方案优于采购人需求，总体服务方案制定详细、针对性强、科学合理、且操作性强；</w:t>
            </w:r>
          </w:p>
          <w:p>
            <w:pPr>
              <w:spacing w:line="360" w:lineRule="auto"/>
              <w:rPr>
                <w:rFonts w:ascii="宋体" w:hAnsi="宋体" w:cs="宋体"/>
                <w:color w:val="000000"/>
                <w:sz w:val="20"/>
                <w:szCs w:val="21"/>
                <w:lang w:val="zh-CN"/>
              </w:rPr>
            </w:pPr>
            <w:r>
              <w:rPr>
                <w:rFonts w:hint="eastAsia" w:ascii="宋体" w:hAnsi="宋体" w:cs="宋体"/>
                <w:color w:val="000000"/>
                <w:sz w:val="20"/>
                <w:szCs w:val="21"/>
                <w:lang w:val="zh-CN"/>
              </w:rPr>
              <w:t>良（</w:t>
            </w:r>
            <w:r>
              <w:rPr>
                <w:rFonts w:hint="eastAsia" w:ascii="宋体" w:hAnsi="宋体" w:cs="宋体"/>
                <w:color w:val="000000"/>
                <w:sz w:val="20"/>
                <w:szCs w:val="21"/>
                <w:lang w:val="en-US" w:eastAsia="zh-CN"/>
              </w:rPr>
              <w:t>8</w:t>
            </w:r>
            <w:r>
              <w:rPr>
                <w:rFonts w:hint="eastAsia" w:ascii="宋体" w:hAnsi="宋体" w:cs="宋体"/>
                <w:color w:val="000000"/>
                <w:sz w:val="20"/>
                <w:szCs w:val="21"/>
                <w:lang w:val="zh-CN"/>
              </w:rPr>
              <w:t>分）：服务方案满足采购人需求，总体服务方案制定较详细、针对性较强、较科学合理、且操作性较强；</w:t>
            </w:r>
          </w:p>
          <w:p>
            <w:pPr>
              <w:spacing w:line="360" w:lineRule="auto"/>
              <w:rPr>
                <w:rFonts w:ascii="宋体" w:hAnsi="宋体" w:cs="宋体"/>
                <w:color w:val="000000"/>
                <w:sz w:val="20"/>
                <w:szCs w:val="21"/>
                <w:lang w:val="zh-CN"/>
              </w:rPr>
            </w:pPr>
            <w:r>
              <w:rPr>
                <w:rFonts w:hint="eastAsia" w:ascii="宋体" w:hAnsi="宋体" w:cs="宋体"/>
                <w:color w:val="000000"/>
                <w:sz w:val="20"/>
                <w:szCs w:val="21"/>
                <w:lang w:val="zh-CN"/>
              </w:rPr>
              <w:t>一般（</w:t>
            </w:r>
            <w:r>
              <w:rPr>
                <w:rFonts w:hint="eastAsia" w:ascii="宋体" w:hAnsi="宋体" w:cs="宋体"/>
                <w:color w:val="000000"/>
                <w:sz w:val="20"/>
                <w:szCs w:val="21"/>
                <w:lang w:val="en-US" w:eastAsia="zh-CN"/>
              </w:rPr>
              <w:t>4</w:t>
            </w:r>
            <w:r>
              <w:rPr>
                <w:rFonts w:hint="eastAsia" w:ascii="宋体" w:hAnsi="宋体" w:cs="宋体"/>
                <w:color w:val="000000"/>
                <w:sz w:val="20"/>
                <w:szCs w:val="21"/>
                <w:lang w:val="zh-CN"/>
              </w:rPr>
              <w:t>分）：服务方案基本满足采购人需求。</w:t>
            </w:r>
          </w:p>
          <w:p>
            <w:pPr>
              <w:spacing w:line="360" w:lineRule="auto"/>
              <w:rPr>
                <w:rFonts w:ascii="宋体" w:hAnsi="宋体"/>
                <w:color w:val="000000"/>
                <w:sz w:val="20"/>
                <w:szCs w:val="21"/>
              </w:rPr>
            </w:pPr>
            <w:r>
              <w:rPr>
                <w:rFonts w:hint="eastAsia" w:ascii="宋体" w:hAnsi="宋体" w:cs="宋体"/>
                <w:color w:val="000000"/>
                <w:sz w:val="20"/>
                <w:szCs w:val="21"/>
                <w:lang w:val="en-US" w:eastAsia="zh-CN"/>
              </w:rPr>
              <w:t>较</w:t>
            </w:r>
            <w:r>
              <w:rPr>
                <w:rFonts w:hint="eastAsia" w:ascii="宋体" w:hAnsi="宋体" w:cs="宋体"/>
                <w:color w:val="000000"/>
                <w:sz w:val="20"/>
                <w:szCs w:val="21"/>
                <w:lang w:val="zh-CN"/>
              </w:rPr>
              <w:t>差（</w:t>
            </w:r>
            <w:r>
              <w:rPr>
                <w:rFonts w:hint="eastAsia" w:ascii="宋体" w:hAnsi="宋体" w:cs="宋体"/>
                <w:color w:val="000000"/>
                <w:sz w:val="20"/>
                <w:szCs w:val="21"/>
                <w:lang w:val="en-US" w:eastAsia="zh-CN"/>
              </w:rPr>
              <w:t>2</w:t>
            </w:r>
            <w:r>
              <w:rPr>
                <w:rFonts w:hint="eastAsia" w:ascii="宋体" w:hAnsi="宋体" w:cs="宋体"/>
                <w:color w:val="000000"/>
                <w:sz w:val="20"/>
                <w:szCs w:val="21"/>
                <w:lang w:val="zh-CN"/>
              </w:rPr>
              <w:t>分）：无总体服务方案或服务方案明显不能满足采购人需求。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47" w:type="dxa"/>
            <w:noWrap/>
            <w:vAlign w:val="center"/>
          </w:tcPr>
          <w:p>
            <w:pPr>
              <w:pStyle w:val="14"/>
              <w:spacing w:line="360" w:lineRule="auto"/>
              <w:jc w:val="center"/>
              <w:rPr>
                <w:rFonts w:hint="eastAsia" w:ascii="宋体" w:hAnsi="宋体" w:eastAsia="宋体" w:cs="宋体"/>
                <w:color w:val="000000"/>
                <w:sz w:val="20"/>
                <w:lang w:val="en-US" w:eastAsia="zh-CN"/>
              </w:rPr>
            </w:pPr>
            <w:r>
              <w:rPr>
                <w:rFonts w:hint="eastAsia" w:ascii="宋体" w:hAnsi="宋体" w:cs="宋体"/>
                <w:color w:val="000000"/>
                <w:sz w:val="20"/>
                <w:lang w:val="en-US" w:eastAsia="zh-CN"/>
              </w:rPr>
              <w:t>3</w:t>
            </w:r>
          </w:p>
        </w:tc>
        <w:tc>
          <w:tcPr>
            <w:tcW w:w="1559" w:type="dxa"/>
            <w:noWrap/>
            <w:vAlign w:val="center"/>
          </w:tcPr>
          <w:p>
            <w:pPr>
              <w:pStyle w:val="7"/>
              <w:spacing w:line="360" w:lineRule="auto"/>
              <w:jc w:val="center"/>
              <w:rPr>
                <w:rFonts w:hint="eastAsia" w:ascii="宋体" w:hAnsi="宋体" w:eastAsia="宋体" w:cs="宋体"/>
                <w:sz w:val="20"/>
                <w:szCs w:val="21"/>
              </w:rPr>
            </w:pPr>
            <w:r>
              <w:rPr>
                <w:rFonts w:hint="eastAsia" w:ascii="宋体" w:hAnsi="宋体" w:eastAsia="宋体" w:cs="宋体"/>
                <w:sz w:val="20"/>
                <w:szCs w:val="21"/>
              </w:rPr>
              <w:t>检后档案管理</w:t>
            </w:r>
          </w:p>
        </w:tc>
        <w:tc>
          <w:tcPr>
            <w:tcW w:w="709" w:type="dxa"/>
            <w:noWrap/>
            <w:vAlign w:val="center"/>
          </w:tcPr>
          <w:p>
            <w:pPr>
              <w:pStyle w:val="14"/>
              <w:spacing w:line="360" w:lineRule="auto"/>
              <w:jc w:val="center"/>
              <w:rPr>
                <w:rFonts w:hint="default" w:ascii="宋体" w:hAnsi="宋体" w:eastAsia="宋体" w:cs="宋体"/>
                <w:color w:val="000000"/>
                <w:sz w:val="20"/>
                <w:lang w:val="en-US" w:eastAsia="zh-CN"/>
              </w:rPr>
            </w:pPr>
            <w:r>
              <w:rPr>
                <w:rFonts w:hint="eastAsia" w:ascii="宋体" w:hAnsi="宋体" w:cs="宋体"/>
                <w:color w:val="000000"/>
                <w:sz w:val="20"/>
                <w:lang w:val="en-US" w:eastAsia="zh-CN"/>
              </w:rPr>
              <w:t>6</w:t>
            </w:r>
          </w:p>
        </w:tc>
        <w:tc>
          <w:tcPr>
            <w:tcW w:w="7179" w:type="dxa"/>
            <w:noWrap/>
            <w:vAlign w:val="center"/>
          </w:tcPr>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zh-CN"/>
              </w:rPr>
              <w:t xml:space="preserve">根据健康档案管理是否实现信息化，是否可出具电子化（例如微信或支付宝端进行查看）和纸质版体检报告，进行评审： </w:t>
            </w:r>
          </w:p>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zh-CN"/>
              </w:rPr>
              <w:t>1、具备健康管理软件系统，可出具电子化</w:t>
            </w:r>
            <w:r>
              <w:rPr>
                <w:rFonts w:hint="eastAsia" w:ascii="宋体" w:hAnsi="宋体" w:cs="宋体"/>
                <w:color w:val="000000"/>
                <w:sz w:val="20"/>
                <w:szCs w:val="21"/>
                <w:lang w:val="en-US" w:eastAsia="zh-CN"/>
              </w:rPr>
              <w:t>/</w:t>
            </w:r>
            <w:r>
              <w:rPr>
                <w:rFonts w:hint="eastAsia" w:ascii="宋体" w:hAnsi="宋体" w:cs="宋体"/>
                <w:color w:val="000000"/>
                <w:sz w:val="20"/>
                <w:szCs w:val="21"/>
                <w:lang w:val="zh-CN"/>
              </w:rPr>
              <w:t xml:space="preserve">纸质版体检报告得 </w:t>
            </w:r>
            <w:r>
              <w:rPr>
                <w:rFonts w:hint="eastAsia" w:ascii="宋体" w:hAnsi="宋体" w:cs="宋体"/>
                <w:color w:val="000000"/>
                <w:sz w:val="20"/>
                <w:szCs w:val="21"/>
                <w:lang w:val="en-US" w:eastAsia="zh-CN"/>
              </w:rPr>
              <w:t>6</w:t>
            </w:r>
            <w:r>
              <w:rPr>
                <w:rFonts w:hint="eastAsia" w:ascii="宋体" w:hAnsi="宋体" w:cs="宋体"/>
                <w:color w:val="000000"/>
                <w:sz w:val="20"/>
                <w:szCs w:val="21"/>
                <w:lang w:val="zh-CN"/>
              </w:rPr>
              <w:t>分；</w:t>
            </w:r>
          </w:p>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zh-CN"/>
              </w:rPr>
              <w:t>2、不具备健康管理软件系统，可出具电子化</w:t>
            </w:r>
            <w:r>
              <w:rPr>
                <w:rFonts w:hint="eastAsia" w:ascii="宋体" w:hAnsi="宋体" w:cs="宋体"/>
                <w:color w:val="000000"/>
                <w:sz w:val="20"/>
                <w:szCs w:val="21"/>
                <w:lang w:val="en-US" w:eastAsia="zh-CN"/>
              </w:rPr>
              <w:t>/</w:t>
            </w:r>
            <w:r>
              <w:rPr>
                <w:rFonts w:hint="eastAsia" w:ascii="宋体" w:hAnsi="宋体" w:cs="宋体"/>
                <w:color w:val="000000"/>
                <w:sz w:val="20"/>
                <w:szCs w:val="21"/>
                <w:lang w:val="zh-CN"/>
              </w:rPr>
              <w:t>纸质版体检报告得</w:t>
            </w:r>
            <w:r>
              <w:rPr>
                <w:rFonts w:hint="eastAsia" w:ascii="宋体" w:hAnsi="宋体" w:cs="宋体"/>
                <w:color w:val="000000"/>
                <w:sz w:val="20"/>
                <w:szCs w:val="21"/>
                <w:lang w:val="en-US" w:eastAsia="zh-CN"/>
              </w:rPr>
              <w:t>3</w:t>
            </w:r>
            <w:r>
              <w:rPr>
                <w:rFonts w:hint="eastAsia" w:ascii="宋体" w:hAnsi="宋体" w:cs="宋体"/>
                <w:color w:val="000000"/>
                <w:sz w:val="20"/>
                <w:szCs w:val="21"/>
                <w:lang w:val="zh-CN"/>
              </w:rPr>
              <w:t xml:space="preserve"> 分； </w:t>
            </w:r>
          </w:p>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zh-CN"/>
              </w:rPr>
              <w:t>3、不具备健康管理软件系统，只能出具纸质版体检报告得</w:t>
            </w:r>
            <w:r>
              <w:rPr>
                <w:rFonts w:hint="eastAsia" w:ascii="宋体" w:hAnsi="宋体" w:cs="宋体"/>
                <w:color w:val="000000"/>
                <w:sz w:val="20"/>
                <w:szCs w:val="21"/>
                <w:lang w:val="en-US" w:eastAsia="zh-CN"/>
              </w:rPr>
              <w:t>1</w:t>
            </w:r>
            <w:r>
              <w:rPr>
                <w:rFonts w:hint="eastAsia" w:ascii="宋体" w:hAnsi="宋体" w:cs="宋体"/>
                <w:color w:val="000000"/>
                <w:sz w:val="20"/>
                <w:szCs w:val="21"/>
                <w:lang w:val="zh-CN"/>
              </w:rPr>
              <w:t xml:space="preserve">分； </w:t>
            </w:r>
          </w:p>
          <w:p>
            <w:pPr>
              <w:spacing w:line="360" w:lineRule="auto"/>
              <w:rPr>
                <w:rFonts w:ascii="宋体" w:hAnsi="宋体" w:cs="宋体"/>
                <w:color w:val="000000"/>
                <w:sz w:val="20"/>
                <w:szCs w:val="21"/>
                <w:lang w:val="zh-CN"/>
              </w:rPr>
            </w:pPr>
            <w:r>
              <w:rPr>
                <w:rFonts w:hint="eastAsia" w:ascii="宋体" w:hAnsi="宋体" w:cs="宋体"/>
                <w:color w:val="000000"/>
                <w:sz w:val="20"/>
                <w:szCs w:val="21"/>
                <w:lang w:val="zh-CN"/>
              </w:rPr>
              <w:t>4.未提供不得分。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647" w:type="dxa"/>
            <w:noWrap/>
            <w:vAlign w:val="center"/>
          </w:tcPr>
          <w:p>
            <w:pPr>
              <w:pStyle w:val="14"/>
              <w:spacing w:line="360" w:lineRule="auto"/>
              <w:jc w:val="center"/>
              <w:rPr>
                <w:rFonts w:hint="eastAsia" w:ascii="宋体" w:hAnsi="宋体" w:eastAsia="宋体" w:cs="宋体"/>
                <w:color w:val="000000"/>
                <w:sz w:val="20"/>
                <w:lang w:eastAsia="zh-CN"/>
              </w:rPr>
            </w:pPr>
            <w:r>
              <w:rPr>
                <w:rFonts w:hint="eastAsia" w:ascii="宋体" w:hAnsi="宋体" w:cs="宋体"/>
                <w:color w:val="000000"/>
                <w:sz w:val="20"/>
                <w:lang w:val="en-US" w:eastAsia="zh-CN"/>
              </w:rPr>
              <w:t>4</w:t>
            </w:r>
          </w:p>
        </w:tc>
        <w:tc>
          <w:tcPr>
            <w:tcW w:w="1559" w:type="dxa"/>
            <w:noWrap/>
            <w:vAlign w:val="center"/>
          </w:tcPr>
          <w:p>
            <w:pPr>
              <w:pStyle w:val="7"/>
              <w:spacing w:line="360" w:lineRule="auto"/>
              <w:jc w:val="center"/>
              <w:rPr>
                <w:rFonts w:hint="eastAsia" w:ascii="宋体" w:hAnsi="宋体" w:eastAsia="宋体" w:cs="宋体"/>
                <w:sz w:val="20"/>
                <w:szCs w:val="21"/>
                <w:lang w:val="zh-CN"/>
              </w:rPr>
            </w:pPr>
            <w:r>
              <w:rPr>
                <w:rFonts w:hint="eastAsia" w:ascii="宋体" w:hAnsi="宋体" w:eastAsia="宋体" w:cs="宋体"/>
                <w:sz w:val="20"/>
                <w:szCs w:val="21"/>
              </w:rPr>
              <w:t>质量保障措施及应急服务</w:t>
            </w:r>
          </w:p>
        </w:tc>
        <w:tc>
          <w:tcPr>
            <w:tcW w:w="709" w:type="dxa"/>
            <w:noWrap/>
            <w:vAlign w:val="center"/>
          </w:tcPr>
          <w:p>
            <w:pPr>
              <w:pStyle w:val="14"/>
              <w:spacing w:line="360" w:lineRule="auto"/>
              <w:jc w:val="center"/>
              <w:rPr>
                <w:rFonts w:hint="default" w:ascii="宋体" w:hAnsi="宋体" w:eastAsia="宋体"/>
                <w:color w:val="000000"/>
                <w:sz w:val="20"/>
                <w:lang w:val="en-US" w:eastAsia="zh-CN"/>
              </w:rPr>
            </w:pPr>
            <w:r>
              <w:rPr>
                <w:rFonts w:hint="eastAsia" w:ascii="宋体" w:hAnsi="宋体"/>
                <w:color w:val="000000"/>
                <w:sz w:val="20"/>
                <w:lang w:val="en-US" w:eastAsia="zh-CN"/>
              </w:rPr>
              <w:t>15</w:t>
            </w:r>
          </w:p>
        </w:tc>
        <w:tc>
          <w:tcPr>
            <w:tcW w:w="7179" w:type="dxa"/>
            <w:noWrap/>
            <w:vAlign w:val="center"/>
          </w:tcPr>
          <w:p>
            <w:pPr>
              <w:spacing w:line="360" w:lineRule="auto"/>
              <w:rPr>
                <w:rFonts w:ascii="宋体" w:hAnsi="宋体" w:cs="宋体"/>
                <w:b/>
                <w:color w:val="000000"/>
                <w:sz w:val="20"/>
                <w:szCs w:val="21"/>
                <w:lang w:val="zh-CN"/>
              </w:rPr>
            </w:pPr>
            <w:r>
              <w:rPr>
                <w:rFonts w:hint="eastAsia" w:ascii="宋体" w:hAnsi="宋体" w:cs="宋体"/>
                <w:b/>
                <w:color w:val="000000"/>
                <w:sz w:val="20"/>
                <w:szCs w:val="21"/>
                <w:lang w:val="zh-CN"/>
              </w:rPr>
              <w:t>横向对比项目质量保障措施与应急方案：</w:t>
            </w:r>
          </w:p>
          <w:p>
            <w:pPr>
              <w:spacing w:line="360" w:lineRule="auto"/>
              <w:rPr>
                <w:rFonts w:ascii="宋体" w:hAnsi="宋体" w:cs="宋体"/>
                <w:b/>
                <w:color w:val="000000"/>
                <w:sz w:val="20"/>
                <w:szCs w:val="21"/>
                <w:lang w:val="zh-CN"/>
              </w:rPr>
            </w:pPr>
            <w:r>
              <w:rPr>
                <w:rFonts w:hint="eastAsia" w:ascii="宋体" w:hAnsi="宋体" w:cs="宋体"/>
                <w:b/>
                <w:color w:val="000000"/>
                <w:sz w:val="20"/>
                <w:szCs w:val="21"/>
                <w:lang w:val="zh-CN"/>
              </w:rPr>
              <w:t>1）横向对比</w:t>
            </w:r>
            <w:r>
              <w:rPr>
                <w:rFonts w:hint="eastAsia" w:hAnsi="宋体" w:cs="宋体"/>
                <w:b/>
                <w:color w:val="000000"/>
                <w:sz w:val="20"/>
                <w:szCs w:val="21"/>
                <w:lang w:val="zh-CN"/>
              </w:rPr>
              <w:t>报价人</w:t>
            </w:r>
            <w:r>
              <w:rPr>
                <w:rFonts w:hint="eastAsia" w:ascii="宋体" w:hAnsi="宋体" w:cs="宋体"/>
                <w:b/>
                <w:color w:val="000000"/>
                <w:sz w:val="20"/>
                <w:szCs w:val="21"/>
                <w:lang w:val="zh-CN"/>
              </w:rPr>
              <w:t>质量保障措施，满分</w:t>
            </w:r>
            <w:r>
              <w:rPr>
                <w:rFonts w:hint="eastAsia" w:ascii="宋体" w:hAnsi="宋体" w:cs="宋体"/>
                <w:b/>
                <w:color w:val="000000"/>
                <w:sz w:val="20"/>
                <w:szCs w:val="21"/>
                <w:lang w:val="en-US" w:eastAsia="zh-CN"/>
              </w:rPr>
              <w:t>12</w:t>
            </w:r>
            <w:r>
              <w:rPr>
                <w:rFonts w:hint="eastAsia" w:ascii="宋体" w:hAnsi="宋体" w:cs="宋体"/>
                <w:b/>
                <w:color w:val="000000"/>
                <w:sz w:val="20"/>
                <w:szCs w:val="21"/>
                <w:lang w:val="zh-CN"/>
              </w:rPr>
              <w:t>分</w:t>
            </w:r>
          </w:p>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zh-CN"/>
              </w:rPr>
              <w:t>根据</w:t>
            </w:r>
            <w:r>
              <w:rPr>
                <w:rFonts w:hint="eastAsia" w:hAnsi="宋体" w:cs="宋体"/>
                <w:color w:val="000000"/>
                <w:sz w:val="20"/>
                <w:szCs w:val="21"/>
                <w:lang w:val="zh-CN"/>
              </w:rPr>
              <w:t>报价人</w:t>
            </w:r>
            <w:r>
              <w:rPr>
                <w:rFonts w:hint="eastAsia" w:ascii="宋体" w:hAnsi="宋体" w:cs="宋体"/>
                <w:color w:val="000000"/>
                <w:sz w:val="20"/>
                <w:szCs w:val="21"/>
                <w:lang w:val="zh-CN"/>
              </w:rPr>
              <w:t>管理制度、</w:t>
            </w:r>
            <w:r>
              <w:rPr>
                <w:rFonts w:hint="eastAsia" w:ascii="宋体" w:hAnsi="宋体" w:cs="宋体"/>
                <w:color w:val="000000"/>
                <w:sz w:val="20"/>
                <w:szCs w:val="21"/>
                <w:lang w:val="en-US" w:eastAsia="zh-CN"/>
              </w:rPr>
              <w:t>检验质控管理措施等</w:t>
            </w:r>
            <w:r>
              <w:rPr>
                <w:rFonts w:hint="eastAsia" w:ascii="宋体" w:hAnsi="宋体" w:cs="宋体"/>
                <w:color w:val="000000"/>
                <w:sz w:val="20"/>
                <w:szCs w:val="21"/>
                <w:lang w:val="zh-CN"/>
              </w:rPr>
              <w:t>方面进行评审：</w:t>
            </w:r>
          </w:p>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en-US" w:eastAsia="zh-CN"/>
              </w:rPr>
              <w:t>供应商</w:t>
            </w:r>
            <w:r>
              <w:rPr>
                <w:rFonts w:hint="eastAsia" w:ascii="宋体" w:hAnsi="宋体" w:cs="宋体"/>
                <w:color w:val="000000"/>
                <w:sz w:val="20"/>
                <w:szCs w:val="21"/>
                <w:lang w:val="zh-CN"/>
              </w:rPr>
              <w:t>管理</w:t>
            </w:r>
            <w:r>
              <w:rPr>
                <w:rFonts w:hint="eastAsia" w:ascii="宋体" w:hAnsi="宋体" w:cs="宋体"/>
                <w:color w:val="000000"/>
                <w:sz w:val="20"/>
                <w:szCs w:val="21"/>
                <w:lang w:val="en-US" w:eastAsia="zh-CN"/>
              </w:rPr>
              <w:t>制度完善</w:t>
            </w:r>
            <w:r>
              <w:rPr>
                <w:rFonts w:hint="eastAsia" w:ascii="宋体" w:hAnsi="宋体" w:cs="宋体"/>
                <w:color w:val="000000"/>
                <w:sz w:val="20"/>
                <w:szCs w:val="21"/>
                <w:lang w:val="zh-CN"/>
              </w:rPr>
              <w:t>，</w:t>
            </w:r>
            <w:r>
              <w:rPr>
                <w:rFonts w:hint="eastAsia" w:ascii="宋体" w:hAnsi="宋体" w:cs="宋体"/>
                <w:color w:val="000000"/>
                <w:sz w:val="20"/>
                <w:szCs w:val="21"/>
                <w:lang w:val="en-US" w:eastAsia="zh-CN"/>
              </w:rPr>
              <w:t>标本跟踪、检验质控措施</w:t>
            </w:r>
            <w:r>
              <w:rPr>
                <w:rFonts w:hint="eastAsia" w:ascii="宋体" w:hAnsi="宋体" w:cs="宋体"/>
                <w:color w:val="000000"/>
                <w:sz w:val="20"/>
                <w:szCs w:val="21"/>
                <w:lang w:val="zh-CN"/>
              </w:rPr>
              <w:t>具体可行，运作流程流畅，得</w:t>
            </w:r>
            <w:r>
              <w:rPr>
                <w:rFonts w:hint="eastAsia" w:ascii="宋体" w:hAnsi="宋体" w:cs="宋体"/>
                <w:color w:val="000000"/>
                <w:sz w:val="20"/>
                <w:szCs w:val="21"/>
                <w:lang w:val="en-US" w:eastAsia="zh-CN"/>
              </w:rPr>
              <w:t>12</w:t>
            </w:r>
            <w:r>
              <w:rPr>
                <w:rFonts w:hint="eastAsia" w:ascii="宋体" w:hAnsi="宋体" w:cs="宋体"/>
                <w:color w:val="000000"/>
                <w:sz w:val="20"/>
                <w:szCs w:val="21"/>
                <w:lang w:val="zh-CN"/>
              </w:rPr>
              <w:t>分；</w:t>
            </w:r>
          </w:p>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en-US" w:eastAsia="zh-CN"/>
              </w:rPr>
              <w:t>供应商</w:t>
            </w:r>
            <w:r>
              <w:rPr>
                <w:rFonts w:hint="eastAsia" w:ascii="宋体" w:hAnsi="宋体" w:cs="宋体"/>
                <w:color w:val="000000"/>
                <w:sz w:val="20"/>
                <w:szCs w:val="21"/>
                <w:lang w:val="zh-CN"/>
              </w:rPr>
              <w:t>管理</w:t>
            </w:r>
            <w:r>
              <w:rPr>
                <w:rFonts w:hint="eastAsia" w:ascii="宋体" w:hAnsi="宋体" w:cs="宋体"/>
                <w:color w:val="000000"/>
                <w:sz w:val="20"/>
                <w:szCs w:val="21"/>
                <w:lang w:val="en-US" w:eastAsia="zh-CN"/>
              </w:rPr>
              <w:t>制度较完善</w:t>
            </w:r>
            <w:r>
              <w:rPr>
                <w:rFonts w:hint="eastAsia" w:ascii="宋体" w:hAnsi="宋体" w:cs="宋体"/>
                <w:color w:val="000000"/>
                <w:sz w:val="20"/>
                <w:szCs w:val="21"/>
                <w:lang w:val="zh-CN"/>
              </w:rPr>
              <w:t>，</w:t>
            </w:r>
            <w:r>
              <w:rPr>
                <w:rFonts w:hint="eastAsia" w:ascii="宋体" w:hAnsi="宋体" w:cs="宋体"/>
                <w:color w:val="000000"/>
                <w:sz w:val="20"/>
                <w:szCs w:val="21"/>
                <w:lang w:val="en-US" w:eastAsia="zh-CN"/>
              </w:rPr>
              <w:t>标本跟踪、检验质控质量保障措施</w:t>
            </w:r>
            <w:r>
              <w:rPr>
                <w:rFonts w:hint="eastAsia" w:ascii="宋体" w:hAnsi="宋体" w:cs="宋体"/>
                <w:color w:val="000000"/>
                <w:sz w:val="20"/>
                <w:szCs w:val="21"/>
                <w:lang w:val="zh-CN"/>
              </w:rPr>
              <w:t>具体</w:t>
            </w:r>
            <w:r>
              <w:rPr>
                <w:rFonts w:hint="eastAsia" w:ascii="宋体" w:hAnsi="宋体" w:cs="宋体"/>
                <w:color w:val="000000"/>
                <w:sz w:val="20"/>
                <w:szCs w:val="21"/>
                <w:lang w:val="en-US" w:eastAsia="zh-CN"/>
              </w:rPr>
              <w:t>一定</w:t>
            </w:r>
            <w:r>
              <w:rPr>
                <w:rFonts w:hint="eastAsia" w:ascii="宋体" w:hAnsi="宋体" w:cs="宋体"/>
                <w:color w:val="000000"/>
                <w:sz w:val="20"/>
                <w:szCs w:val="21"/>
                <w:lang w:val="zh-CN"/>
              </w:rPr>
              <w:t>可行</w:t>
            </w:r>
            <w:r>
              <w:rPr>
                <w:rFonts w:hint="eastAsia" w:ascii="宋体" w:hAnsi="宋体" w:cs="宋体"/>
                <w:color w:val="000000"/>
                <w:sz w:val="20"/>
                <w:szCs w:val="21"/>
                <w:lang w:val="en-US" w:eastAsia="zh-CN"/>
              </w:rPr>
              <w:t>性</w:t>
            </w:r>
            <w:r>
              <w:rPr>
                <w:rFonts w:hint="eastAsia" w:ascii="宋体" w:hAnsi="宋体" w:cs="宋体"/>
                <w:color w:val="000000"/>
                <w:sz w:val="20"/>
                <w:szCs w:val="21"/>
                <w:lang w:val="zh-CN"/>
              </w:rPr>
              <w:t>，运作流程</w:t>
            </w:r>
            <w:r>
              <w:rPr>
                <w:rFonts w:hint="eastAsia" w:ascii="宋体" w:hAnsi="宋体" w:cs="宋体"/>
                <w:color w:val="000000"/>
                <w:sz w:val="20"/>
                <w:szCs w:val="21"/>
                <w:lang w:val="en-US" w:eastAsia="zh-CN"/>
              </w:rPr>
              <w:t>较为</w:t>
            </w:r>
            <w:r>
              <w:rPr>
                <w:rFonts w:hint="eastAsia" w:ascii="宋体" w:hAnsi="宋体" w:cs="宋体"/>
                <w:color w:val="000000"/>
                <w:sz w:val="20"/>
                <w:szCs w:val="21"/>
                <w:lang w:val="zh-CN"/>
              </w:rPr>
              <w:t>流畅，得</w:t>
            </w:r>
            <w:r>
              <w:rPr>
                <w:rFonts w:hint="eastAsia" w:ascii="宋体" w:hAnsi="宋体" w:cs="宋体"/>
                <w:color w:val="000000"/>
                <w:sz w:val="20"/>
                <w:szCs w:val="21"/>
                <w:lang w:val="en-US" w:eastAsia="zh-CN"/>
              </w:rPr>
              <w:t>8</w:t>
            </w:r>
            <w:r>
              <w:rPr>
                <w:rFonts w:hint="eastAsia" w:ascii="宋体" w:hAnsi="宋体" w:cs="宋体"/>
                <w:color w:val="000000"/>
                <w:sz w:val="20"/>
                <w:szCs w:val="21"/>
                <w:lang w:val="zh-CN"/>
              </w:rPr>
              <w:t>分；</w:t>
            </w:r>
          </w:p>
          <w:p>
            <w:pPr>
              <w:spacing w:line="360" w:lineRule="auto"/>
              <w:rPr>
                <w:rFonts w:hint="eastAsia" w:ascii="宋体" w:hAnsi="宋体" w:cs="宋体"/>
                <w:color w:val="000000"/>
                <w:sz w:val="20"/>
                <w:szCs w:val="21"/>
                <w:lang w:val="zh-CN"/>
              </w:rPr>
            </w:pPr>
            <w:r>
              <w:rPr>
                <w:rFonts w:hint="eastAsia" w:ascii="宋体" w:hAnsi="宋体" w:cs="宋体"/>
                <w:color w:val="000000"/>
                <w:sz w:val="20"/>
                <w:szCs w:val="21"/>
                <w:lang w:val="en-US" w:eastAsia="zh-CN"/>
              </w:rPr>
              <w:t>供应商</w:t>
            </w:r>
            <w:r>
              <w:rPr>
                <w:rFonts w:hint="eastAsia" w:ascii="宋体" w:hAnsi="宋体" w:cs="宋体"/>
                <w:color w:val="000000"/>
                <w:sz w:val="20"/>
                <w:szCs w:val="21"/>
                <w:lang w:val="zh-CN"/>
              </w:rPr>
              <w:t>管理</w:t>
            </w:r>
            <w:r>
              <w:rPr>
                <w:rFonts w:hint="eastAsia" w:ascii="宋体" w:hAnsi="宋体" w:cs="宋体"/>
                <w:color w:val="000000"/>
                <w:sz w:val="20"/>
                <w:szCs w:val="21"/>
                <w:lang w:val="en-US" w:eastAsia="zh-CN"/>
              </w:rPr>
              <w:t>制度完善</w:t>
            </w:r>
            <w:r>
              <w:rPr>
                <w:rFonts w:hint="eastAsia" w:ascii="宋体" w:hAnsi="宋体" w:cs="宋体"/>
                <w:color w:val="000000"/>
                <w:sz w:val="20"/>
                <w:szCs w:val="21"/>
                <w:lang w:val="zh-CN"/>
              </w:rPr>
              <w:t>，</w:t>
            </w:r>
            <w:r>
              <w:rPr>
                <w:rFonts w:hint="eastAsia" w:ascii="宋体" w:hAnsi="宋体" w:cs="宋体"/>
                <w:color w:val="000000"/>
                <w:sz w:val="20"/>
                <w:szCs w:val="21"/>
                <w:lang w:val="en-US" w:eastAsia="zh-CN"/>
              </w:rPr>
              <w:t>标本跟踪、检验质控质量保障措施可行性差</w:t>
            </w:r>
            <w:r>
              <w:rPr>
                <w:rFonts w:hint="eastAsia" w:ascii="宋体" w:hAnsi="宋体" w:cs="宋体"/>
                <w:color w:val="000000"/>
                <w:sz w:val="20"/>
                <w:szCs w:val="21"/>
                <w:lang w:val="zh-CN"/>
              </w:rPr>
              <w:t>，运作流程</w:t>
            </w:r>
            <w:r>
              <w:rPr>
                <w:rFonts w:hint="eastAsia" w:ascii="宋体" w:hAnsi="宋体" w:cs="宋体"/>
                <w:color w:val="000000"/>
                <w:sz w:val="20"/>
                <w:szCs w:val="21"/>
                <w:lang w:val="en-US" w:eastAsia="zh-CN"/>
              </w:rPr>
              <w:t>流畅度低</w:t>
            </w:r>
            <w:r>
              <w:rPr>
                <w:rFonts w:hint="eastAsia" w:ascii="宋体" w:hAnsi="宋体" w:cs="宋体"/>
                <w:color w:val="000000"/>
                <w:sz w:val="20"/>
                <w:szCs w:val="21"/>
                <w:lang w:val="zh-CN"/>
              </w:rPr>
              <w:t>，得</w:t>
            </w:r>
            <w:r>
              <w:rPr>
                <w:rFonts w:hint="eastAsia" w:ascii="宋体" w:hAnsi="宋体" w:cs="宋体"/>
                <w:color w:val="000000"/>
                <w:sz w:val="20"/>
                <w:szCs w:val="21"/>
                <w:lang w:val="en-US" w:eastAsia="zh-CN"/>
              </w:rPr>
              <w:t>3</w:t>
            </w:r>
            <w:r>
              <w:rPr>
                <w:rFonts w:hint="eastAsia" w:ascii="宋体" w:hAnsi="宋体" w:cs="宋体"/>
                <w:color w:val="000000"/>
                <w:sz w:val="20"/>
                <w:szCs w:val="21"/>
                <w:lang w:val="zh-CN"/>
              </w:rPr>
              <w:t>分；</w:t>
            </w:r>
          </w:p>
          <w:p>
            <w:pPr>
              <w:spacing w:line="360" w:lineRule="auto"/>
              <w:rPr>
                <w:rFonts w:hint="default" w:ascii="宋体" w:hAnsi="宋体" w:eastAsia="宋体" w:cs="宋体"/>
                <w:color w:val="000000"/>
                <w:sz w:val="20"/>
                <w:szCs w:val="21"/>
                <w:lang w:val="en-US" w:eastAsia="zh-CN"/>
              </w:rPr>
            </w:pPr>
            <w:r>
              <w:rPr>
                <w:rFonts w:hint="eastAsia" w:ascii="宋体" w:hAnsi="宋体" w:cs="宋体"/>
                <w:b/>
                <w:color w:val="000000"/>
                <w:sz w:val="20"/>
                <w:szCs w:val="21"/>
                <w:lang w:val="zh-CN"/>
              </w:rPr>
              <w:t>2）</w:t>
            </w:r>
            <w:r>
              <w:rPr>
                <w:rFonts w:hint="eastAsia" w:hAnsi="宋体" w:cs="宋体"/>
                <w:b/>
                <w:color w:val="000000"/>
                <w:sz w:val="20"/>
                <w:szCs w:val="21"/>
                <w:lang w:val="en-US" w:eastAsia="zh-CN"/>
              </w:rPr>
              <w:t>报价人</w:t>
            </w:r>
            <w:r>
              <w:rPr>
                <w:rFonts w:hint="eastAsia" w:ascii="宋体" w:hAnsi="宋体" w:cs="宋体"/>
                <w:b/>
                <w:color w:val="000000"/>
                <w:sz w:val="20"/>
                <w:szCs w:val="21"/>
                <w:lang w:val="zh-CN"/>
              </w:rPr>
              <w:t>提供</w:t>
            </w:r>
            <w:r>
              <w:rPr>
                <w:rFonts w:hint="eastAsia" w:ascii="宋体" w:hAnsi="宋体" w:cs="宋体"/>
                <w:b/>
                <w:color w:val="000000"/>
                <w:sz w:val="20"/>
                <w:szCs w:val="21"/>
                <w:lang w:val="en-US" w:eastAsia="zh-CN"/>
              </w:rPr>
              <w:t>完整的</w:t>
            </w:r>
            <w:r>
              <w:rPr>
                <w:rFonts w:hint="eastAsia" w:ascii="宋体" w:hAnsi="宋体" w:cs="宋体"/>
                <w:b/>
                <w:color w:val="000000"/>
                <w:sz w:val="20"/>
                <w:szCs w:val="21"/>
                <w:lang w:val="zh-CN"/>
              </w:rPr>
              <w:t>应急</w:t>
            </w:r>
            <w:r>
              <w:rPr>
                <w:rFonts w:hint="eastAsia" w:ascii="宋体" w:hAnsi="宋体" w:cs="宋体"/>
                <w:b/>
                <w:color w:val="000000"/>
                <w:sz w:val="20"/>
                <w:szCs w:val="21"/>
                <w:lang w:val="en-US" w:eastAsia="zh-CN"/>
              </w:rPr>
              <w:t>服务管理方案</w:t>
            </w:r>
            <w:r>
              <w:rPr>
                <w:rFonts w:hint="eastAsia" w:ascii="宋体" w:hAnsi="宋体" w:cs="宋体"/>
                <w:b/>
                <w:color w:val="000000"/>
                <w:sz w:val="20"/>
                <w:szCs w:val="21"/>
                <w:lang w:val="zh-CN"/>
              </w:rPr>
              <w:t>进行对比，</w:t>
            </w:r>
            <w:r>
              <w:rPr>
                <w:rFonts w:hint="eastAsia" w:ascii="宋体" w:hAnsi="宋体" w:cs="宋体"/>
                <w:b w:val="0"/>
                <w:bCs/>
                <w:color w:val="000000"/>
                <w:sz w:val="20"/>
                <w:szCs w:val="21"/>
                <w:lang w:val="en-US" w:eastAsia="zh-CN"/>
              </w:rPr>
              <w:t>具有较为完整的突发医疗状况应急、设备类故障应急、突发事件应急服务方案，每具备一项完整的应急服务管理方案得1分，满分3分，提供的材料不完整或不具有可行性的得1分。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647" w:type="dxa"/>
            <w:noWrap/>
            <w:vAlign w:val="center"/>
          </w:tcPr>
          <w:p>
            <w:pPr>
              <w:pStyle w:val="14"/>
              <w:spacing w:line="360" w:lineRule="auto"/>
              <w:jc w:val="center"/>
              <w:rPr>
                <w:rFonts w:hint="eastAsia" w:ascii="宋体" w:hAnsi="宋体" w:eastAsia="宋体" w:cs="宋体"/>
                <w:color w:val="000000"/>
                <w:sz w:val="20"/>
                <w:lang w:val="en-US" w:eastAsia="zh-CN"/>
              </w:rPr>
            </w:pPr>
            <w:r>
              <w:rPr>
                <w:rFonts w:hint="eastAsia" w:ascii="宋体" w:hAnsi="宋体" w:cs="宋体"/>
                <w:color w:val="000000"/>
                <w:sz w:val="20"/>
                <w:lang w:val="en-US" w:eastAsia="zh-CN"/>
              </w:rPr>
              <w:t>5</w:t>
            </w:r>
          </w:p>
        </w:tc>
        <w:tc>
          <w:tcPr>
            <w:tcW w:w="1559" w:type="dxa"/>
            <w:noWrap/>
            <w:vAlign w:val="center"/>
          </w:tcPr>
          <w:p>
            <w:pPr>
              <w:spacing w:line="360" w:lineRule="auto"/>
              <w:jc w:val="center"/>
              <w:rPr>
                <w:rFonts w:hint="eastAsia" w:ascii="宋体" w:hAnsi="宋体" w:eastAsia="宋体" w:cs="宋体"/>
                <w:color w:val="000000"/>
                <w:sz w:val="20"/>
                <w:szCs w:val="21"/>
                <w:lang w:val="zh-CN"/>
              </w:rPr>
            </w:pPr>
            <w:r>
              <w:rPr>
                <w:rFonts w:hint="eastAsia" w:ascii="宋体" w:hAnsi="宋体" w:eastAsia="宋体" w:cs="宋体"/>
                <w:color w:val="000000"/>
                <w:sz w:val="20"/>
                <w:szCs w:val="21"/>
                <w:lang w:val="zh-CN"/>
              </w:rPr>
              <w:t>拟投入本项目的人员情况</w:t>
            </w:r>
          </w:p>
        </w:tc>
        <w:tc>
          <w:tcPr>
            <w:tcW w:w="709" w:type="dxa"/>
            <w:noWrap/>
            <w:vAlign w:val="center"/>
          </w:tcPr>
          <w:p>
            <w:pPr>
              <w:pStyle w:val="14"/>
              <w:spacing w:line="360" w:lineRule="auto"/>
              <w:jc w:val="center"/>
              <w:rPr>
                <w:rFonts w:hint="eastAsia" w:ascii="宋体" w:hAnsi="宋体" w:eastAsia="宋体"/>
                <w:color w:val="000000"/>
                <w:sz w:val="20"/>
                <w:lang w:eastAsia="zh-CN"/>
              </w:rPr>
            </w:pPr>
            <w:r>
              <w:rPr>
                <w:rFonts w:hint="eastAsia" w:ascii="宋体" w:hAnsi="宋体" w:cs="宋体"/>
                <w:color w:val="000000"/>
                <w:sz w:val="20"/>
                <w:lang w:val="en-US" w:eastAsia="zh-CN"/>
              </w:rPr>
              <w:t>8</w:t>
            </w:r>
          </w:p>
        </w:tc>
        <w:tc>
          <w:tcPr>
            <w:tcW w:w="7179" w:type="dxa"/>
            <w:noWrap/>
            <w:vAlign w:val="center"/>
          </w:tcPr>
          <w:p>
            <w:pPr>
              <w:spacing w:line="360" w:lineRule="auto"/>
              <w:rPr>
                <w:rFonts w:ascii="宋体" w:hAnsi="宋体" w:cs="宋体"/>
                <w:b/>
                <w:color w:val="000000"/>
                <w:sz w:val="20"/>
                <w:szCs w:val="21"/>
                <w:lang w:val="zh-CN"/>
              </w:rPr>
            </w:pPr>
            <w:r>
              <w:rPr>
                <w:rFonts w:hint="eastAsia" w:ascii="宋体" w:hAnsi="宋体" w:cs="宋体"/>
                <w:b/>
                <w:color w:val="000000"/>
                <w:sz w:val="20"/>
                <w:szCs w:val="21"/>
                <w:lang w:val="zh-CN"/>
              </w:rPr>
              <w:t>根据拟投入医护人员的</w:t>
            </w:r>
            <w:r>
              <w:rPr>
                <w:rFonts w:hint="eastAsia" w:ascii="宋体" w:hAnsi="宋体" w:cs="宋体"/>
                <w:b/>
                <w:color w:val="000000"/>
                <w:sz w:val="20"/>
                <w:szCs w:val="21"/>
                <w:lang w:val="en-US" w:eastAsia="zh-CN"/>
              </w:rPr>
              <w:t>素质进行</w:t>
            </w:r>
            <w:r>
              <w:rPr>
                <w:rFonts w:hint="eastAsia" w:ascii="宋体" w:hAnsi="宋体" w:cs="宋体"/>
                <w:b/>
                <w:color w:val="000000"/>
                <w:sz w:val="20"/>
                <w:szCs w:val="21"/>
                <w:lang w:val="zh-CN"/>
              </w:rPr>
              <w:t>评审：</w:t>
            </w:r>
          </w:p>
          <w:p>
            <w:pPr>
              <w:spacing w:line="360" w:lineRule="auto"/>
              <w:rPr>
                <w:rFonts w:ascii="宋体" w:hAnsi="宋体" w:cs="宋体"/>
                <w:color w:val="000000"/>
                <w:sz w:val="20"/>
                <w:szCs w:val="21"/>
                <w:lang w:val="zh-CN"/>
              </w:rPr>
            </w:pPr>
            <w:r>
              <w:rPr>
                <w:rFonts w:hint="eastAsia" w:ascii="宋体" w:hAnsi="宋体" w:cs="宋体"/>
                <w:color w:val="000000"/>
                <w:sz w:val="20"/>
                <w:szCs w:val="21"/>
                <w:lang w:val="zh-CN"/>
              </w:rPr>
              <w:t>医护人员数量充足，从业经验丰富，服务管理能力强，综合素质高，拟投入项目的人员具备10名或以上副高或以上职称医生，得</w:t>
            </w:r>
            <w:r>
              <w:rPr>
                <w:rFonts w:hint="eastAsia" w:ascii="宋体" w:hAnsi="宋体" w:cs="宋体"/>
                <w:color w:val="000000"/>
                <w:sz w:val="20"/>
                <w:szCs w:val="21"/>
                <w:lang w:val="en-US" w:eastAsia="zh-CN"/>
              </w:rPr>
              <w:t>8</w:t>
            </w:r>
            <w:r>
              <w:rPr>
                <w:rFonts w:hint="eastAsia" w:ascii="宋体" w:hAnsi="宋体" w:cs="宋体"/>
                <w:color w:val="000000"/>
                <w:sz w:val="20"/>
                <w:szCs w:val="21"/>
                <w:lang w:val="zh-CN"/>
              </w:rPr>
              <w:t>分；</w:t>
            </w:r>
          </w:p>
          <w:p>
            <w:pPr>
              <w:spacing w:line="360" w:lineRule="auto"/>
              <w:rPr>
                <w:rFonts w:ascii="宋体" w:hAnsi="宋体" w:cs="宋体"/>
                <w:color w:val="000000"/>
                <w:sz w:val="20"/>
                <w:szCs w:val="21"/>
                <w:lang w:val="zh-CN"/>
              </w:rPr>
            </w:pPr>
            <w:r>
              <w:rPr>
                <w:rFonts w:hint="eastAsia" w:ascii="宋体" w:hAnsi="宋体" w:cs="宋体"/>
                <w:color w:val="000000"/>
                <w:sz w:val="20"/>
                <w:szCs w:val="21"/>
                <w:lang w:val="zh-CN"/>
              </w:rPr>
              <w:t>医护人员数量较多，从业经验较丰富，服务管理能力较强，综合素质较高，拟投入项目的人员具备5-9名副高或以上职称的医生，得</w:t>
            </w:r>
            <w:r>
              <w:rPr>
                <w:rFonts w:hint="eastAsia" w:ascii="宋体" w:hAnsi="宋体" w:cs="宋体"/>
                <w:color w:val="000000"/>
                <w:sz w:val="20"/>
                <w:szCs w:val="21"/>
                <w:lang w:val="en-US" w:eastAsia="zh-CN"/>
              </w:rPr>
              <w:t>5</w:t>
            </w:r>
            <w:r>
              <w:rPr>
                <w:rFonts w:hint="eastAsia" w:ascii="宋体" w:hAnsi="宋体" w:cs="宋体"/>
                <w:color w:val="000000"/>
                <w:sz w:val="20"/>
                <w:szCs w:val="21"/>
                <w:lang w:val="zh-CN"/>
              </w:rPr>
              <w:t>分；</w:t>
            </w:r>
          </w:p>
          <w:p>
            <w:pPr>
              <w:spacing w:line="360" w:lineRule="auto"/>
              <w:rPr>
                <w:lang w:val="zh-CN"/>
              </w:rPr>
            </w:pPr>
            <w:r>
              <w:rPr>
                <w:rFonts w:hint="eastAsia" w:ascii="宋体" w:hAnsi="宋体" w:cs="宋体"/>
                <w:color w:val="000000"/>
                <w:sz w:val="20"/>
                <w:szCs w:val="21"/>
                <w:lang w:val="zh-CN"/>
              </w:rPr>
              <w:t>医护人员数量不足，从业经验一般，服务管理能力一般，综合素质不高，拟投入项目的人员具备5名（不含）以下副高或以上职称的医生，得</w:t>
            </w:r>
            <w:r>
              <w:rPr>
                <w:rFonts w:hint="eastAsia" w:ascii="宋体" w:hAnsi="宋体" w:cs="宋体"/>
                <w:color w:val="000000"/>
                <w:sz w:val="20"/>
                <w:szCs w:val="21"/>
                <w:lang w:val="en-US" w:eastAsia="zh-CN"/>
              </w:rPr>
              <w:t>2</w:t>
            </w:r>
            <w:r>
              <w:rPr>
                <w:rFonts w:hint="eastAsia" w:ascii="宋体" w:hAnsi="宋体" w:cs="宋体"/>
                <w:color w:val="000000"/>
                <w:sz w:val="20"/>
                <w:szCs w:val="21"/>
                <w:lang w:val="zh-CN"/>
              </w:rPr>
              <w:t>分；医护人员数量少，从业经验较少，服务管理能力较差，综合素质较低，拟投入项目的人员不具备副高或以上职称的医生，得0分；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647" w:type="dxa"/>
            <w:noWrap/>
            <w:vAlign w:val="center"/>
          </w:tcPr>
          <w:p>
            <w:pPr>
              <w:pStyle w:val="14"/>
              <w:spacing w:line="360" w:lineRule="auto"/>
              <w:jc w:val="center"/>
              <w:rPr>
                <w:rFonts w:hint="eastAsia" w:ascii="宋体" w:hAnsi="宋体" w:eastAsia="宋体" w:cs="宋体"/>
                <w:color w:val="000000"/>
                <w:sz w:val="20"/>
                <w:lang w:val="en-US" w:eastAsia="zh-CN"/>
              </w:rPr>
            </w:pPr>
            <w:r>
              <w:rPr>
                <w:rFonts w:hint="eastAsia" w:ascii="宋体" w:hAnsi="宋体" w:cs="宋体"/>
                <w:color w:val="000000"/>
                <w:sz w:val="20"/>
                <w:lang w:val="en-US" w:eastAsia="zh-CN"/>
              </w:rPr>
              <w:t>6</w:t>
            </w:r>
          </w:p>
        </w:tc>
        <w:tc>
          <w:tcPr>
            <w:tcW w:w="1559" w:type="dxa"/>
            <w:noWrap/>
            <w:vAlign w:val="center"/>
          </w:tcPr>
          <w:p>
            <w:pPr>
              <w:pStyle w:val="7"/>
              <w:spacing w:line="360" w:lineRule="auto"/>
              <w:jc w:val="center"/>
              <w:rPr>
                <w:rFonts w:hint="eastAsia" w:ascii="宋体" w:hAnsi="宋体" w:eastAsia="宋体" w:cs="宋体"/>
                <w:sz w:val="20"/>
                <w:szCs w:val="21"/>
                <w:lang w:val="en-US" w:eastAsia="zh-CN"/>
              </w:rPr>
            </w:pPr>
            <w:r>
              <w:rPr>
                <w:rFonts w:hint="eastAsia" w:ascii="宋体" w:hAnsi="宋体" w:eastAsia="宋体" w:cs="宋体"/>
                <w:sz w:val="20"/>
                <w:szCs w:val="21"/>
                <w:lang w:val="en-US" w:eastAsia="zh-CN"/>
              </w:rPr>
              <w:t>增值服务</w:t>
            </w:r>
          </w:p>
        </w:tc>
        <w:tc>
          <w:tcPr>
            <w:tcW w:w="709" w:type="dxa"/>
            <w:noWrap/>
            <w:vAlign w:val="center"/>
          </w:tcPr>
          <w:p>
            <w:pPr>
              <w:pStyle w:val="14"/>
              <w:spacing w:line="360" w:lineRule="auto"/>
              <w:jc w:val="center"/>
              <w:rPr>
                <w:rFonts w:hint="eastAsia" w:ascii="宋体" w:hAnsi="宋体" w:eastAsia="宋体"/>
                <w:color w:val="000000"/>
                <w:sz w:val="20"/>
                <w:lang w:eastAsia="zh-CN"/>
              </w:rPr>
            </w:pPr>
            <w:r>
              <w:rPr>
                <w:rFonts w:hint="eastAsia" w:ascii="宋体" w:hAnsi="宋体" w:cs="宋体"/>
                <w:color w:val="000000"/>
                <w:sz w:val="20"/>
                <w:lang w:val="en-US" w:eastAsia="zh-CN"/>
              </w:rPr>
              <w:t>5</w:t>
            </w:r>
          </w:p>
        </w:tc>
        <w:tc>
          <w:tcPr>
            <w:tcW w:w="7179" w:type="dxa"/>
            <w:noWrap/>
            <w:vAlign w:val="center"/>
          </w:tcPr>
          <w:p>
            <w:pPr>
              <w:spacing w:line="360" w:lineRule="auto"/>
              <w:rPr>
                <w:rFonts w:hint="default" w:ascii="宋体" w:hAnsi="宋体" w:eastAsia="宋体"/>
                <w:color w:val="000000"/>
                <w:sz w:val="20"/>
                <w:szCs w:val="21"/>
                <w:lang w:val="en-US" w:eastAsia="zh-CN"/>
              </w:rPr>
            </w:pPr>
            <w:r>
              <w:rPr>
                <w:rFonts w:hint="eastAsia" w:ascii="宋体" w:hAnsi="宋体" w:cs="新宋体"/>
                <w:color w:val="000000"/>
                <w:sz w:val="20"/>
                <w:szCs w:val="21"/>
              </w:rPr>
              <w:t>横向对比</w:t>
            </w:r>
            <w:r>
              <w:rPr>
                <w:rFonts w:hint="eastAsia" w:hAnsi="宋体" w:cs="新宋体"/>
                <w:color w:val="000000"/>
                <w:sz w:val="20"/>
                <w:szCs w:val="21"/>
                <w:lang w:val="en-US" w:eastAsia="zh-CN"/>
              </w:rPr>
              <w:t>报价人</w:t>
            </w:r>
            <w:r>
              <w:rPr>
                <w:rFonts w:hint="eastAsia" w:ascii="宋体" w:hAnsi="宋体" w:cs="新宋体"/>
                <w:color w:val="000000"/>
                <w:sz w:val="20"/>
                <w:szCs w:val="21"/>
              </w:rPr>
              <w:t>在体检过程中</w:t>
            </w:r>
            <w:r>
              <w:rPr>
                <w:rFonts w:hint="eastAsia" w:ascii="宋体" w:hAnsi="宋体" w:cs="新宋体"/>
                <w:color w:val="000000"/>
                <w:sz w:val="20"/>
                <w:szCs w:val="21"/>
                <w:lang w:val="en-US" w:eastAsia="zh-CN"/>
              </w:rPr>
              <w:t>提供的以下增值服务内容，如就医服务绿色通道、疫苗服务绿色通道、专车接送服务、健康知识讲座、报告解读服务等，提供服务承诺函（</w:t>
            </w:r>
            <w:r>
              <w:rPr>
                <w:rFonts w:hint="eastAsia" w:ascii="宋体" w:hAnsi="宋体" w:cs="新宋体"/>
                <w:b/>
                <w:bCs/>
                <w:color w:val="000000"/>
                <w:sz w:val="20"/>
                <w:szCs w:val="21"/>
                <w:lang w:val="en-US" w:eastAsia="zh-CN"/>
              </w:rPr>
              <w:t>提供绿色服务通道的请提供绿色就医医院及</w:t>
            </w:r>
            <w:r>
              <w:rPr>
                <w:rFonts w:hint="eastAsia" w:hAnsi="宋体" w:cs="新宋体"/>
                <w:b/>
                <w:bCs/>
                <w:color w:val="000000"/>
                <w:sz w:val="20"/>
                <w:szCs w:val="21"/>
                <w:lang w:val="en-US" w:eastAsia="zh-CN"/>
              </w:rPr>
              <w:t>报价人</w:t>
            </w:r>
            <w:r>
              <w:rPr>
                <w:rFonts w:hint="eastAsia" w:ascii="宋体" w:hAnsi="宋体" w:cs="新宋体"/>
                <w:b/>
                <w:bCs/>
                <w:color w:val="000000"/>
                <w:sz w:val="20"/>
                <w:szCs w:val="21"/>
                <w:lang w:val="en-US" w:eastAsia="zh-CN"/>
              </w:rPr>
              <w:t>与医院所签合作协议等证明类材料，不提供或提供材料为第三方合作协议类材料的不得分</w:t>
            </w:r>
            <w:r>
              <w:rPr>
                <w:rFonts w:hint="eastAsia" w:ascii="宋体" w:hAnsi="宋体" w:cs="新宋体"/>
                <w:color w:val="000000"/>
                <w:sz w:val="20"/>
                <w:szCs w:val="21"/>
                <w:lang w:val="en-US" w:eastAsia="zh-CN"/>
              </w:rPr>
              <w:t>），每提供一项得1分，满分5分。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206" w:type="dxa"/>
            <w:gridSpan w:val="2"/>
            <w:shd w:val="clear" w:color="auto" w:fill="C5E0B3" w:themeFill="accent6" w:themeFillTint="66"/>
            <w:noWrap/>
            <w:vAlign w:val="center"/>
          </w:tcPr>
          <w:p>
            <w:pPr>
              <w:spacing w:line="360" w:lineRule="auto"/>
              <w:jc w:val="center"/>
              <w:rPr>
                <w:rFonts w:ascii="宋体" w:hAnsi="宋体"/>
                <w:color w:val="000000"/>
                <w:sz w:val="20"/>
                <w:szCs w:val="21"/>
              </w:rPr>
            </w:pPr>
            <w:r>
              <w:rPr>
                <w:rFonts w:hint="eastAsia" w:ascii="宋体" w:hAnsi="宋体" w:cs="宋体"/>
                <w:b/>
                <w:color w:val="000000"/>
                <w:sz w:val="20"/>
                <w:szCs w:val="21"/>
              </w:rPr>
              <w:t>合计</w:t>
            </w:r>
          </w:p>
        </w:tc>
        <w:tc>
          <w:tcPr>
            <w:tcW w:w="709" w:type="dxa"/>
            <w:shd w:val="clear" w:color="auto" w:fill="C5E0B3" w:themeFill="accent6" w:themeFillTint="66"/>
            <w:noWrap/>
            <w:vAlign w:val="center"/>
          </w:tcPr>
          <w:p>
            <w:pPr>
              <w:spacing w:line="360" w:lineRule="auto"/>
              <w:jc w:val="center"/>
              <w:rPr>
                <w:rFonts w:ascii="宋体" w:hAnsi="宋体" w:cs="宋体"/>
                <w:b/>
                <w:color w:val="000000"/>
                <w:sz w:val="20"/>
                <w:szCs w:val="21"/>
              </w:rPr>
            </w:pPr>
            <w:r>
              <w:rPr>
                <w:rFonts w:hint="eastAsia" w:ascii="宋体" w:hAnsi="宋体" w:cs="宋体"/>
                <w:b/>
                <w:color w:val="000000"/>
                <w:sz w:val="20"/>
                <w:szCs w:val="21"/>
                <w:lang w:val="en-US" w:eastAsia="zh-CN"/>
              </w:rPr>
              <w:t>5</w:t>
            </w:r>
            <w:r>
              <w:rPr>
                <w:rFonts w:hint="eastAsia" w:ascii="宋体" w:hAnsi="宋体" w:cs="宋体"/>
                <w:b/>
                <w:color w:val="000000"/>
                <w:sz w:val="20"/>
                <w:szCs w:val="21"/>
              </w:rPr>
              <w:t>0分</w:t>
            </w:r>
          </w:p>
        </w:tc>
        <w:tc>
          <w:tcPr>
            <w:tcW w:w="7179" w:type="dxa"/>
            <w:shd w:val="clear" w:color="auto" w:fill="C5E0B3" w:themeFill="accent6" w:themeFillTint="66"/>
            <w:noWrap/>
            <w:vAlign w:val="center"/>
          </w:tcPr>
          <w:p>
            <w:pPr>
              <w:spacing w:line="360" w:lineRule="auto"/>
              <w:jc w:val="center"/>
              <w:rPr>
                <w:rFonts w:ascii="宋体" w:hAnsi="宋体"/>
                <w:color w:val="000000"/>
                <w:sz w:val="20"/>
                <w:szCs w:val="21"/>
              </w:rPr>
            </w:pPr>
          </w:p>
        </w:tc>
      </w:tr>
    </w:tbl>
    <w:p>
      <w:pPr>
        <w:spacing w:line="360" w:lineRule="auto"/>
        <w:jc w:val="left"/>
        <w:rPr>
          <w:rFonts w:hint="eastAsia" w:ascii="宋体" w:hAnsi="宋体"/>
          <w:b/>
          <w:szCs w:val="21"/>
        </w:rPr>
      </w:pPr>
      <w:r>
        <w:rPr>
          <w:rFonts w:hint="eastAsia" w:ascii="宋体" w:hAnsi="宋体"/>
          <w:b/>
          <w:szCs w:val="21"/>
        </w:rPr>
        <w:t>注：评委按分项的规定分数范围内给各报价人进行打分，并统计总分。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9DBA9"/>
    <w:multiLevelType w:val="singleLevel"/>
    <w:tmpl w:val="9729DB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NjNmMWY5Mjk2YWU0NGEzYjQ4YjA4NWUzYWM5M2IifQ=="/>
  </w:docVars>
  <w:rsids>
    <w:rsidRoot w:val="34B369EA"/>
    <w:rsid w:val="12246595"/>
    <w:rsid w:val="19F50150"/>
    <w:rsid w:val="34B369EA"/>
    <w:rsid w:val="41BC30F5"/>
    <w:rsid w:val="5C301B1C"/>
    <w:rsid w:val="730E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5"/>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widowControl w:val="0"/>
      <w:snapToGrid w:val="0"/>
      <w:spacing w:line="360" w:lineRule="auto"/>
      <w:jc w:val="left"/>
    </w:pPr>
    <w:rPr>
      <w:rFonts w:ascii="宋体" w:hAnsi="宋体" w:eastAsia="宋体" w:cs="宋体"/>
      <w:kern w:val="2"/>
      <w:sz w:val="24"/>
      <w:szCs w:val="24"/>
      <w:lang w:val="en-US" w:eastAsia="zh-CN" w:bidi="ar-SA"/>
    </w:rPr>
  </w:style>
  <w:style w:type="paragraph" w:styleId="5">
    <w:name w:val="Normal Indent"/>
    <w:basedOn w:val="1"/>
    <w:qFormat/>
    <w:uiPriority w:val="0"/>
    <w:pPr>
      <w:widowControl/>
      <w:ind w:firstLine="420"/>
      <w:jc w:val="left"/>
    </w:pPr>
    <w:rPr>
      <w:kern w:val="0"/>
      <w:szCs w:val="20"/>
    </w:rPr>
  </w:style>
  <w:style w:type="paragraph" w:styleId="6">
    <w:name w:val="table of authorities"/>
    <w:basedOn w:val="1"/>
    <w:next w:val="1"/>
    <w:qFormat/>
    <w:uiPriority w:val="0"/>
    <w:pPr>
      <w:spacing w:line="240" w:lineRule="auto"/>
      <w:ind w:left="200" w:leftChars="200"/>
    </w:pPr>
  </w:style>
  <w:style w:type="paragraph" w:styleId="7">
    <w:name w:val="Body Text"/>
    <w:basedOn w:val="1"/>
    <w:qFormat/>
    <w:uiPriority w:val="0"/>
    <w:pPr>
      <w:jc w:val="both"/>
    </w:pPr>
    <w:rPr>
      <w:rFonts w:ascii="仿宋_GB2312" w:eastAsia="仿宋_GB2312"/>
      <w:sz w:val="28"/>
    </w:rPr>
  </w:style>
  <w:style w:type="paragraph" w:styleId="8">
    <w:name w:val="Body Text Indent"/>
    <w:basedOn w:val="1"/>
    <w:qFormat/>
    <w:uiPriority w:val="0"/>
    <w:pPr>
      <w:ind w:firstLine="570"/>
    </w:pPr>
    <w:rPr>
      <w:rFonts w:ascii="宋体" w:hAnsi="宋体"/>
      <w:sz w:val="28"/>
      <w:szCs w:val="20"/>
    </w:rPr>
  </w:style>
  <w:style w:type="paragraph" w:styleId="9">
    <w:name w:val="footer"/>
    <w:basedOn w:val="1"/>
    <w:next w:val="1"/>
    <w:qFormat/>
    <w:uiPriority w:val="0"/>
    <w:pPr>
      <w:tabs>
        <w:tab w:val="center" w:pos="4153"/>
        <w:tab w:val="right" w:pos="8306"/>
      </w:tabs>
      <w:snapToGrid w:val="0"/>
    </w:pPr>
    <w:rPr>
      <w:sz w:val="18"/>
    </w:rPr>
  </w:style>
  <w:style w:type="paragraph" w:styleId="10">
    <w:name w:val="toc 2"/>
    <w:basedOn w:val="1"/>
    <w:next w:val="1"/>
    <w:qFormat/>
    <w:uiPriority w:val="0"/>
    <w:pPr>
      <w:ind w:left="420" w:leftChars="200"/>
    </w:pPr>
  </w:style>
  <w:style w:type="paragraph" w:customStyle="1" w:styleId="13">
    <w:name w:val="正文 New New New New New New"/>
    <w:qFormat/>
    <w:uiPriority w:val="99"/>
    <w:pPr>
      <w:widowControl w:val="0"/>
      <w:jc w:val="both"/>
    </w:pPr>
    <w:rPr>
      <w:rFonts w:ascii="Calibri" w:hAnsi="Calibri" w:eastAsia="宋体" w:cs="Times New Roman"/>
      <w:kern w:val="2"/>
      <w:sz w:val="21"/>
      <w:szCs w:val="21"/>
      <w:lang w:val="en-US" w:eastAsia="zh-CN" w:bidi="ar-SA"/>
    </w:rPr>
  </w:style>
  <w:style w:type="paragraph" w:customStyle="1" w:styleId="14">
    <w:name w:val="正文 New New New New New"/>
    <w:qFormat/>
    <w:uiPriority w:val="0"/>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4895</Words>
  <Characters>5424</Characters>
  <Lines>0</Lines>
  <Paragraphs>0</Paragraphs>
  <TotalTime>0</TotalTime>
  <ScaleCrop>false</ScaleCrop>
  <LinksUpToDate>false</LinksUpToDate>
  <CharactersWithSpaces>5620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2022-11-21T02:33:00Z</dcterms:created>
  <dc:creator>NGAIBIKGYUN</dc:creator>
  <cp:lastModifiedBy>Timmy</cp:lastModifiedBy>
  <dcterms:modified xsi:type="dcterms:W3CDTF">2022-12-15T09:21:50Z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08CA50E70272443AA9B9E010A72E5911</vt:lpwstr>
  </property>
</Properties>
</file>