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bookmarkStart w:id="0" w:name="_GoBack"/>
      <w:r>
        <w:rPr>
          <w:rFonts w:hint="default" w:ascii="Times New Roman" w:hAnsi="Times New Roman" w:eastAsia="方正小标宋简体" w:cs="Times New Roman"/>
          <w:sz w:val="44"/>
          <w:szCs w:val="44"/>
          <w:lang w:eastAsia="zh-CN"/>
        </w:rPr>
        <w:fldChar w:fldCharType="begin" w:fldLock="1"/>
      </w:r>
      <w:r>
        <w:rPr>
          <w:rFonts w:hint="default" w:ascii="Times New Roman" w:hAnsi="Times New Roman" w:eastAsia="方正小标宋简体" w:cs="Times New Roman"/>
          <w:sz w:val="44"/>
          <w:szCs w:val="44"/>
          <w:lang w:eastAsia="zh-CN"/>
        </w:rPr>
        <w:instrText xml:space="preserve"> HYPERLINK "http://www.hp.gov.cn/gzhpgz/gkmlpt/content/8/8041/post_8041477.html" \t "http://www.hp.gov.cn/gzhpgz/gkmlpt/_blank" </w:instrText>
      </w:r>
      <w:r>
        <w:rPr>
          <w:rFonts w:hint="default" w:ascii="Times New Roman" w:hAnsi="Times New Roman" w:eastAsia="方正小标宋简体" w:cs="Times New Roman"/>
          <w:sz w:val="44"/>
          <w:szCs w:val="44"/>
          <w:lang w:eastAsia="zh-CN"/>
        </w:rPr>
        <w:fldChar w:fldCharType="separate"/>
      </w:r>
      <w:r>
        <w:rPr>
          <w:rFonts w:hint="default" w:ascii="Times New Roman" w:hAnsi="Times New Roman" w:eastAsia="方正小标宋简体" w:cs="Times New Roman"/>
          <w:sz w:val="44"/>
          <w:szCs w:val="44"/>
          <w:lang w:eastAsia="zh-CN"/>
        </w:rPr>
        <w:t>广州开发区国资局202</w:t>
      </w:r>
      <w:r>
        <w:rPr>
          <w:rFonts w:hint="default" w:ascii="Times New Roman" w:hAnsi="Times New Roman" w:eastAsia="方正小标宋简体" w:cs="Times New Roman"/>
          <w:sz w:val="44"/>
          <w:szCs w:val="44"/>
          <w:lang w:val="en-US" w:eastAsia="zh-CN"/>
        </w:rPr>
        <w:t>2</w:t>
      </w:r>
      <w:r>
        <w:rPr>
          <w:rFonts w:hint="default" w:ascii="Times New Roman" w:hAnsi="Times New Roman" w:eastAsia="方正小标宋简体" w:cs="Times New Roman"/>
          <w:sz w:val="44"/>
          <w:szCs w:val="44"/>
          <w:lang w:eastAsia="zh-CN"/>
        </w:rPr>
        <w:t>年政府信息公开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工作年度报告</w:t>
      </w:r>
      <w:r>
        <w:rPr>
          <w:rFonts w:hint="default" w:ascii="Times New Roman" w:hAnsi="Times New Roman" w:eastAsia="方正小标宋简体" w:cs="Times New Roman"/>
          <w:sz w:val="44"/>
          <w:szCs w:val="44"/>
          <w:lang w:eastAsia="zh-CN"/>
        </w:rPr>
        <w:fldChar w:fldCharType="end"/>
      </w:r>
    </w:p>
    <w:bookmarkEnd w:id="0"/>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一、总体情况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（一）主动公开情况。</w:t>
      </w:r>
      <w:r>
        <w:rPr>
          <w:rFonts w:hint="default" w:ascii="Times New Roman" w:hAnsi="Times New Roman" w:eastAsia="仿宋_GB2312" w:cs="Times New Roman"/>
          <w:sz w:val="32"/>
          <w:szCs w:val="32"/>
          <w:lang w:eastAsia="zh-CN"/>
        </w:rPr>
        <w:t>全年共发布信息</w:t>
      </w:r>
      <w:r>
        <w:rPr>
          <w:rFonts w:hint="default" w:ascii="Times New Roman" w:hAnsi="Times New Roman" w:eastAsia="仿宋_GB2312" w:cs="Times New Roman"/>
          <w:sz w:val="32"/>
          <w:szCs w:val="32"/>
          <w:lang w:val="en-US" w:eastAsia="zh-CN"/>
        </w:rPr>
        <w:t>61</w:t>
      </w:r>
      <w:r>
        <w:rPr>
          <w:rFonts w:hint="default" w:ascii="Times New Roman" w:hAnsi="Times New Roman" w:eastAsia="仿宋_GB2312" w:cs="Times New Roman"/>
          <w:sz w:val="32"/>
          <w:szCs w:val="32"/>
          <w:lang w:eastAsia="zh-CN"/>
        </w:rPr>
        <w:t>条，其中：组织机构类信息3条；部门文件类信息</w:t>
      </w:r>
      <w:r>
        <w:rPr>
          <w:rFonts w:hint="default" w:ascii="Times New Roman" w:hAnsi="Times New Roman" w:eastAsia="仿宋_GB2312" w:cs="Times New Roman"/>
          <w:sz w:val="32"/>
          <w:szCs w:val="32"/>
          <w:lang w:val="en-US" w:eastAsia="zh-CN"/>
        </w:rPr>
        <w:t>23</w:t>
      </w:r>
      <w:r>
        <w:rPr>
          <w:rFonts w:hint="default" w:ascii="Times New Roman" w:hAnsi="Times New Roman" w:eastAsia="仿宋_GB2312" w:cs="Times New Roman"/>
          <w:sz w:val="32"/>
          <w:szCs w:val="32"/>
          <w:lang w:eastAsia="zh-CN"/>
        </w:rPr>
        <w:t>条；工作动态类信息</w:t>
      </w:r>
      <w:r>
        <w:rPr>
          <w:rFonts w:hint="default" w:ascii="Times New Roman" w:hAnsi="Times New Roman" w:eastAsia="仿宋_GB2312" w:cs="Times New Roman"/>
          <w:sz w:val="32"/>
          <w:szCs w:val="32"/>
          <w:lang w:val="en-US" w:eastAsia="zh-CN"/>
        </w:rPr>
        <w:t>33</w:t>
      </w:r>
      <w:r>
        <w:rPr>
          <w:rFonts w:hint="default" w:ascii="Times New Roman" w:hAnsi="Times New Roman" w:eastAsia="仿宋_GB2312" w:cs="Times New Roman"/>
          <w:sz w:val="32"/>
          <w:szCs w:val="32"/>
          <w:lang w:eastAsia="zh-CN"/>
        </w:rPr>
        <w:t>条；财政预决算类信息2条，接受公众监督。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（二）依申请公开情况。</w:t>
      </w:r>
      <w:r>
        <w:rPr>
          <w:rFonts w:hint="default" w:ascii="Times New Roman" w:hAnsi="Times New Roman" w:eastAsia="仿宋_GB2312" w:cs="Times New Roman"/>
          <w:sz w:val="32"/>
          <w:szCs w:val="32"/>
          <w:lang w:eastAsia="zh-CN"/>
        </w:rPr>
        <w:t>全年共受理信息公开申请</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件，办结</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件，其中：“</w:t>
      </w:r>
      <w:r>
        <w:rPr>
          <w:rFonts w:hint="eastAsia" w:ascii="Times New Roman" w:hAnsi="Times New Roman" w:eastAsia="仿宋_GB2312" w:cs="Times New Roman"/>
          <w:sz w:val="32"/>
          <w:szCs w:val="32"/>
          <w:lang w:eastAsia="zh-CN"/>
        </w:rPr>
        <w:t>予以</w:t>
      </w:r>
      <w:r>
        <w:rPr>
          <w:rFonts w:hint="default" w:ascii="Times New Roman" w:hAnsi="Times New Roman" w:eastAsia="仿宋_GB2312" w:cs="Times New Roman"/>
          <w:sz w:val="32"/>
          <w:szCs w:val="32"/>
          <w:lang w:eastAsia="zh-CN"/>
        </w:rPr>
        <w:t>公开”</w:t>
      </w: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lang w:eastAsia="zh-CN"/>
        </w:rPr>
        <w:t>件，“没有现成信息需要另行制作”1件，发生针对本单位有关政府信息公开事务的行政复议案和行政诉讼案均为0件。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cs="Times New Roman"/>
          <w:lang w:eastAsia="zh-CN"/>
        </w:rPr>
      </w:pPr>
      <w:r>
        <w:rPr>
          <w:rFonts w:hint="default" w:ascii="Times New Roman" w:hAnsi="Times New Roman" w:eastAsia="楷体_GB2312" w:cs="Times New Roman"/>
          <w:sz w:val="32"/>
          <w:szCs w:val="32"/>
          <w:lang w:eastAsia="zh-CN"/>
        </w:rPr>
        <w:t>（三）政府信息管理情况。</w:t>
      </w:r>
      <w:r>
        <w:rPr>
          <w:rFonts w:hint="default" w:ascii="Times New Roman" w:hAnsi="Times New Roman" w:eastAsia="仿宋_GB2312" w:cs="Times New Roman"/>
          <w:sz w:val="32"/>
          <w:szCs w:val="32"/>
          <w:lang w:eastAsia="zh-CN"/>
        </w:rPr>
        <w:t>按程序进行内容审核、公开审查、保密审查，在确保群众的知情权的同时，防止因不当公开造成泄密现象发生。</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（四）平台建设情况。</w:t>
      </w:r>
      <w:r>
        <w:rPr>
          <w:rFonts w:hint="default" w:ascii="Times New Roman" w:hAnsi="Times New Roman" w:eastAsia="仿宋_GB2312" w:cs="Times New Roman"/>
          <w:sz w:val="32"/>
          <w:szCs w:val="32"/>
          <w:lang w:eastAsia="zh-CN"/>
        </w:rPr>
        <w:t>结合上级意识形态相关工作要求，区国资局未申请开通各类平台账号，未运营新媒体，并对本单位工作人员的个人用网情况进行检查清理。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（五）监督保障情况。</w:t>
      </w:r>
      <w:r>
        <w:rPr>
          <w:rFonts w:hint="default" w:ascii="Times New Roman" w:hAnsi="Times New Roman" w:eastAsia="仿宋_GB2312" w:cs="Times New Roman"/>
          <w:sz w:val="32"/>
          <w:szCs w:val="32"/>
          <w:lang w:eastAsia="zh-CN"/>
        </w:rPr>
        <w:t>通过网站、电话、邮件等渠道接受社会监督，严格执行“涉密信息不上网，上网信息不涉密”的原则。参加政府信息公开工作培训</w:t>
      </w:r>
      <w:r>
        <w:rPr>
          <w:rFonts w:hint="default" w:ascii="Times New Roman" w:hAnsi="Times New Roman" w:eastAsia="仿宋_GB2312" w:cs="Times New Roman"/>
          <w:sz w:val="32"/>
          <w:szCs w:val="32"/>
          <w:lang w:val="en-US" w:eastAsia="zh-CN"/>
        </w:rPr>
        <w:t>3次</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sz w:val="32"/>
          <w:szCs w:val="32"/>
          <w:lang w:eastAsia="zh-CN"/>
        </w:rPr>
        <w:t>（六）落实政务公开工作要点任务。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积极完成区政务公开工作要点任务，主动公开《广州开发区国资局监管企业资产评估管理办法》《广州开发区国有资产监督管理局关于做好2022年区属国企房屋减免租金工作实施方案的通知》；推进部门所属单位预算、决算及相关报表公开；办理国务院“互联网+督查”平台疫情防控工作问题留言线索1条；办理12345热线工单</w:t>
      </w:r>
      <w:r>
        <w:rPr>
          <w:rFonts w:hint="default" w:ascii="Times New Roman" w:hAnsi="Times New Roman" w:eastAsia="仿宋_GB2312" w:cs="Times New Roman"/>
          <w:sz w:val="32"/>
          <w:szCs w:val="32"/>
          <w:lang w:val="en-US" w:eastAsia="zh-CN"/>
        </w:rPr>
        <w:t>82</w:t>
      </w:r>
      <w:r>
        <w:rPr>
          <w:rFonts w:hint="default" w:ascii="Times New Roman" w:hAnsi="Times New Roman" w:eastAsia="仿宋_GB2312" w:cs="Times New Roman"/>
          <w:sz w:val="32"/>
          <w:szCs w:val="32"/>
          <w:lang w:eastAsia="zh-CN"/>
        </w:rPr>
        <w:t>件，按时办结率100%。</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二、主动公开政府信息情况</w:t>
      </w:r>
    </w:p>
    <w:tbl>
      <w:tblPr>
        <w:tblStyle w:val="3"/>
        <w:tblW w:w="9740" w:type="dxa"/>
        <w:jc w:val="center"/>
        <w:tblLayout w:type="autofit"/>
        <w:tblCellMar>
          <w:top w:w="0" w:type="dxa"/>
          <w:left w:w="0" w:type="dxa"/>
          <w:bottom w:w="0" w:type="dxa"/>
          <w:right w:w="0" w:type="dxa"/>
        </w:tblCellMar>
      </w:tblPr>
      <w:tblGrid>
        <w:gridCol w:w="2435"/>
        <w:gridCol w:w="2435"/>
        <w:gridCol w:w="2435"/>
        <w:gridCol w:w="2435"/>
      </w:tblGrid>
      <w:tr>
        <w:tblPrEx>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r>
      <w:tr>
        <w:tblPrEx>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blPrEx>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szCs w:val="24"/>
                <w:lang w:val="en-US" w:eastAsia="zh-CN" w:bidi="ar-SA"/>
              </w:rPr>
            </w:pPr>
            <w:r>
              <w:rPr>
                <w:rFonts w:hint="default" w:ascii="Times New Roman" w:hAnsi="Times New Roman" w:cs="Times New Roman"/>
                <w:color w:val="000000"/>
                <w:sz w:val="24"/>
                <w:szCs w:val="24"/>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三、收到和处理政府信息公开申请情况</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cs="Times New Roman"/>
              </w:rPr>
            </w:pPr>
          </w:p>
        </w:tc>
        <w:tc>
          <w:tcPr>
            <w:tcW w:w="683" w:type="dxa"/>
            <w:vMerge w:val="restart"/>
            <w:tcBorders>
              <w:top w:val="nil"/>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3415" w:type="dxa"/>
            <w:gridSpan w:val="5"/>
            <w:tcBorders>
              <w:top w:val="nil"/>
              <w:left w:val="nil"/>
              <w:bottom w:val="single" w:color="auto" w:sz="8"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pPr>
              <w:rPr>
                <w:rFonts w:hint="default" w:ascii="Times New Roman" w:hAnsi="Times New Roman" w:cs="Times New Roman"/>
              </w:rPr>
            </w:pPr>
          </w:p>
        </w:tc>
        <w:tc>
          <w:tcPr>
            <w:tcW w:w="683" w:type="dxa"/>
            <w:vMerge w:val="continue"/>
            <w:tcBorders>
              <w:top w:val="nil"/>
              <w:left w:val="single" w:color="auto" w:sz="4" w:space="0"/>
              <w:bottom w:val="single" w:color="auto" w:sz="4"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683" w:type="dxa"/>
            <w:tcBorders>
              <w:top w:val="nil"/>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683" w:type="dxa"/>
            <w:tcBorders>
              <w:top w:val="single" w:color="auto" w:sz="8" w:space="0"/>
              <w:left w:val="single" w:color="auto" w:sz="4"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683"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684" w:type="dxa"/>
            <w:vMerge w:val="continue"/>
            <w:tcBorders>
              <w:top w:val="single"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2</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restart"/>
            <w:tcBorders>
              <w:top w:val="nil"/>
              <w:left w:val="single" w:color="auto" w:sz="8" w:space="0"/>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restart"/>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779" w:hRule="atLeast"/>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nil"/>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restart"/>
            <w:tcBorders>
              <w:top w:val="outset" w:color="auto" w:sz="8" w:space="0"/>
              <w:left w:val="nil"/>
              <w:bottom w:val="outset"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954" w:type="dxa"/>
            <w:vMerge w:val="continue"/>
            <w:tcBorders>
              <w:top w:val="outset" w:color="auto" w:sz="8" w:space="0"/>
              <w:left w:val="nil"/>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3261"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751" w:type="dxa"/>
            <w:vMerge w:val="continue"/>
            <w:tcBorders>
              <w:top w:val="nil"/>
              <w:left w:val="single" w:color="auto" w:sz="8" w:space="0"/>
              <w:bottom w:val="outset" w:color="auto" w:sz="8" w:space="0"/>
              <w:right w:val="single" w:color="auto" w:sz="8" w:space="0"/>
            </w:tcBorders>
            <w:noWrap w:val="0"/>
            <w:tcMar>
              <w:left w:w="57" w:type="dxa"/>
              <w:right w:w="57" w:type="dxa"/>
            </w:tcMar>
            <w:vAlign w:val="center"/>
          </w:tcPr>
          <w:p>
            <w:pPr>
              <w:rPr>
                <w:rFonts w:hint="default" w:ascii="Times New Roman" w:hAnsi="Times New Roman" w:cs="Times New Roman"/>
              </w:rPr>
            </w:pPr>
          </w:p>
        </w:tc>
        <w:tc>
          <w:tcPr>
            <w:tcW w:w="4215" w:type="dxa"/>
            <w:gridSpan w:val="2"/>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2</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2</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3"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kern w:val="2"/>
                <w:sz w:val="28"/>
                <w:szCs w:val="22"/>
                <w:lang w:val="en-US" w:eastAsia="zh-CN" w:bidi="ar-SA"/>
              </w:rPr>
            </w:pPr>
            <w:r>
              <w:rPr>
                <w:rFonts w:hint="default"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szCs w:val="24"/>
                <w:lang w:val="en-US" w:eastAsia="zh-CN" w:bidi="ar-SA"/>
              </w:rPr>
            </w:pPr>
            <w:r>
              <w:rPr>
                <w:rFonts w:hint="default" w:ascii="Times New Roman" w:hAnsi="Times New Roman" w:cs="Times New Roman"/>
                <w:color w:val="000000"/>
                <w:sz w:val="28"/>
                <w:szCs w:val="24"/>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四、政府信息公开行政复议、行政诉讼情况</w:t>
      </w:r>
    </w:p>
    <w:tbl>
      <w:tblPr>
        <w:tblStyle w:val="3"/>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498"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0"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default" w:ascii="Times New Roman" w:hAnsi="Times New Roman" w:cs="Times New Roman"/>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val="en-US" w:eastAsia="zh-CN" w:bidi="ar-SA"/>
              </w:rPr>
            </w:pPr>
            <w:r>
              <w:rPr>
                <w:rFonts w:hint="default"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default" w:ascii="Times New Roman" w:hAnsi="Times New Roman" w:eastAsia="宋体" w:cs="Times New Roman"/>
                <w:color w:val="000000"/>
                <w:sz w:val="24"/>
                <w:szCs w:val="24"/>
                <w:lang w:val="en-US" w:eastAsia="zh-CN" w:bidi="ar-SA"/>
              </w:rPr>
            </w:pPr>
            <w:r>
              <w:rPr>
                <w:rFonts w:hint="default" w:ascii="Times New Roman" w:hAnsi="Times New Roman" w:cs="Times New Roman"/>
                <w:color w:val="000000"/>
                <w:sz w:val="24"/>
                <w:szCs w:val="24"/>
                <w:lang w:val="en-US" w:eastAsia="zh-CN" w:bidi="ar-SA"/>
              </w:rPr>
              <w:t>0</w:t>
            </w:r>
          </w:p>
        </w:tc>
      </w:tr>
    </w:tbl>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五、存在的主要问题及改进情况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年区国资局政府信息公开工作按规定有序推进，但仍存在公开工作力度不够大等问题，下一步，我局将进一步认真贯彻落实政府信息公开工作要求，持续做好</w:t>
      </w:r>
      <w:r>
        <w:rPr>
          <w:rFonts w:hint="default" w:ascii="Times New Roman" w:hAnsi="Times New Roman" w:eastAsia="仿宋_GB2312" w:cs="Times New Roman"/>
          <w:color w:val="000000"/>
          <w:sz w:val="32"/>
          <w:szCs w:val="19"/>
          <w:shd w:val="clear" w:color="auto" w:fill="FFFFFF"/>
          <w:lang w:bidi="ar-SA"/>
        </w:rPr>
        <w:t>重点领域信息公开工作，</w:t>
      </w:r>
      <w:r>
        <w:rPr>
          <w:rFonts w:hint="default" w:ascii="Times New Roman" w:hAnsi="Times New Roman" w:eastAsia="仿宋_GB2312" w:cs="Times New Roman"/>
          <w:sz w:val="32"/>
          <w:szCs w:val="32"/>
          <w:lang w:eastAsia="zh-CN"/>
        </w:rPr>
        <w:t>深挖有价值的政务信息，提升时效性和覆盖面，不断推进我局政务公开工作迈上新台阶。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黑体" w:cs="Times New Roman"/>
          <w:sz w:val="32"/>
          <w:szCs w:val="32"/>
          <w:lang w:eastAsia="zh-CN"/>
        </w:rPr>
      </w:pPr>
      <w:r>
        <w:rPr>
          <w:rFonts w:hint="default" w:ascii="Times New Roman" w:hAnsi="Times New Roman" w:eastAsia="黑体" w:cs="Times New Roman"/>
          <w:sz w:val="32"/>
          <w:szCs w:val="32"/>
          <w:lang w:eastAsia="zh-CN"/>
        </w:rPr>
        <w:t>六、其他需要报告的事项</w:t>
      </w:r>
    </w:p>
    <w:p>
      <w:pPr>
        <w:pStyle w:val="2"/>
        <w:ind w:left="0" w:leftChars="0" w:firstLine="640" w:firstLineChars="200"/>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202</w:t>
      </w: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lang w:eastAsia="zh-CN"/>
        </w:rPr>
        <w:t>年区国资局在办理依申请公开工作中未收取费用。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FF1C2B"/>
    <w:rsid w:val="57FF1C2B"/>
    <w:rsid w:val="59E45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2"/>
    <w:basedOn w:val="1"/>
    <w:next w:val="1"/>
    <w:qFormat/>
    <w:uiPriority w:val="0"/>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2023-01-29T06:30:00Z</dcterms:created>
  <dc:creator>林嘉纯</dc:creator>
  <cp:lastModifiedBy>林嘉纯</cp:lastModifiedBy>
  <dcterms:modified xsi:type="dcterms:W3CDTF">2023-01-29T06:31:42Z</dcterms:modified>
  <dc:title>广州开发区国资局2022年政府信息公开</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ies>
</file>