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color w:val="000000"/>
          <w:sz w:val="44"/>
          <w:szCs w:val="44"/>
          <w:shd w:val="clear" w:color="auto" w:fill="FFFFFF"/>
          <w:lang w:bidi="ar-SA"/>
        </w:rPr>
      </w:pPr>
      <w:r>
        <w:rPr>
          <w:rFonts w:hint="default" w:ascii="Times New Roman" w:hAnsi="Times New Roman" w:eastAsia="方正小标宋简体" w:cs="Times New Roman"/>
          <w:color w:val="000000"/>
          <w:sz w:val="44"/>
          <w:szCs w:val="44"/>
          <w:shd w:val="clear" w:color="auto" w:fill="FFFFFF"/>
          <w:lang w:bidi="ar-SA"/>
        </w:rPr>
        <w:t>广州市黄埔区农业农村局2022年政府信息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color w:val="000000"/>
          <w:sz w:val="44"/>
          <w:szCs w:val="44"/>
          <w:lang w:bidi="ar-SA"/>
        </w:rPr>
      </w:pPr>
      <w:r>
        <w:rPr>
          <w:rFonts w:hint="default" w:ascii="Times New Roman" w:hAnsi="Times New Roman" w:eastAsia="方正小标宋简体" w:cs="Times New Roman"/>
          <w:color w:val="000000"/>
          <w:sz w:val="44"/>
          <w:szCs w:val="44"/>
          <w:shd w:val="clear" w:color="auto" w:fill="FFFFFF"/>
          <w:lang w:bidi="ar-SA"/>
        </w:rPr>
        <w:t>公开工作年度报告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20"/>
        <w:jc w:val="both"/>
        <w:textAlignment w:val="auto"/>
        <w:rPr>
          <w:rFonts w:hint="default" w:ascii="Times New Roman" w:hAnsi="Times New Roman" w:eastAsia="仿宋_GB2312" w:cs="Times New Roman"/>
          <w:color w:val="000000"/>
          <w:sz w:val="32"/>
          <w:szCs w:val="19"/>
          <w:lang w:bidi="ar-SA"/>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一、总体情况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trike/>
          <w:dstrike w:val="0"/>
          <w:color w:val="000000"/>
          <w:sz w:val="32"/>
          <w:szCs w:val="19"/>
          <w:highlight w:val="none"/>
          <w:shd w:val="clear" w:color="auto" w:fill="FFFFFF"/>
          <w:lang w:bidi="ar-SA"/>
        </w:rPr>
      </w:pPr>
      <w:r>
        <w:rPr>
          <w:rFonts w:hint="default" w:ascii="Times New Roman" w:hAnsi="Times New Roman" w:eastAsia="仿宋_GB2312" w:cs="Times New Roman"/>
          <w:color w:val="000000"/>
          <w:sz w:val="32"/>
          <w:szCs w:val="19"/>
          <w:highlight w:val="none"/>
          <w:shd w:val="clear" w:color="auto" w:fill="FFFFFF"/>
          <w:lang w:bidi="ar-SA"/>
        </w:rPr>
        <w:t>202</w:t>
      </w:r>
      <w:r>
        <w:rPr>
          <w:rFonts w:hint="default" w:ascii="Times New Roman" w:hAnsi="Times New Roman" w:eastAsia="仿宋_GB2312" w:cs="Times New Roman"/>
          <w:color w:val="000000"/>
          <w:sz w:val="32"/>
          <w:szCs w:val="19"/>
          <w:highlight w:val="none"/>
          <w:shd w:val="clear" w:color="auto" w:fill="FFFFFF"/>
          <w:lang w:val="en-US" w:eastAsia="zh-CN" w:bidi="ar-SA"/>
        </w:rPr>
        <w:t>2</w:t>
      </w:r>
      <w:r>
        <w:rPr>
          <w:rFonts w:hint="default" w:ascii="Times New Roman" w:hAnsi="Times New Roman" w:eastAsia="仿宋_GB2312" w:cs="Times New Roman"/>
          <w:color w:val="000000"/>
          <w:sz w:val="32"/>
          <w:szCs w:val="19"/>
          <w:highlight w:val="none"/>
          <w:shd w:val="clear" w:color="auto" w:fill="FFFFFF"/>
          <w:lang w:bidi="ar-SA"/>
        </w:rPr>
        <w:t>年我局认真贯彻区委、区政府关于政</w:t>
      </w:r>
      <w:r>
        <w:rPr>
          <w:rFonts w:hint="default" w:ascii="Times New Roman" w:hAnsi="Times New Roman" w:eastAsia="仿宋_GB2312" w:cs="Times New Roman"/>
          <w:color w:val="000000"/>
          <w:sz w:val="32"/>
          <w:szCs w:val="19"/>
          <w:highlight w:val="none"/>
          <w:shd w:val="clear" w:color="auto" w:fill="FFFFFF"/>
          <w:lang w:eastAsia="zh-CN" w:bidi="ar-SA"/>
        </w:rPr>
        <w:t>务</w:t>
      </w:r>
      <w:r>
        <w:rPr>
          <w:rFonts w:hint="default" w:ascii="Times New Roman" w:hAnsi="Times New Roman" w:eastAsia="仿宋_GB2312" w:cs="Times New Roman"/>
          <w:color w:val="000000"/>
          <w:sz w:val="32"/>
          <w:szCs w:val="19"/>
          <w:highlight w:val="none"/>
          <w:shd w:val="clear" w:color="auto" w:fill="FFFFFF"/>
          <w:lang w:bidi="ar-SA"/>
        </w:rPr>
        <w:t>公开</w:t>
      </w:r>
      <w:r>
        <w:rPr>
          <w:rFonts w:hint="default" w:ascii="Times New Roman" w:hAnsi="Times New Roman" w:eastAsia="仿宋_GB2312" w:cs="Times New Roman"/>
          <w:color w:val="000000"/>
          <w:sz w:val="32"/>
          <w:szCs w:val="19"/>
          <w:highlight w:val="none"/>
          <w:shd w:val="clear" w:color="auto" w:fill="FFFFFF"/>
          <w:lang w:eastAsia="zh-CN" w:bidi="ar-SA"/>
        </w:rPr>
        <w:t>的</w:t>
      </w:r>
      <w:r>
        <w:rPr>
          <w:rFonts w:hint="default" w:ascii="Times New Roman" w:hAnsi="Times New Roman" w:eastAsia="仿宋_GB2312" w:cs="Times New Roman"/>
          <w:color w:val="000000"/>
          <w:sz w:val="32"/>
          <w:szCs w:val="19"/>
          <w:highlight w:val="none"/>
          <w:shd w:val="clear" w:color="auto" w:fill="FFFFFF"/>
          <w:lang w:bidi="ar-SA"/>
        </w:rPr>
        <w:t>各项工作部署，</w:t>
      </w:r>
      <w:r>
        <w:rPr>
          <w:rFonts w:hint="default" w:ascii="Times New Roman" w:hAnsi="Times New Roman" w:eastAsia="仿宋_GB2312" w:cs="Times New Roman"/>
          <w:color w:val="000000"/>
          <w:sz w:val="32"/>
          <w:szCs w:val="19"/>
          <w:highlight w:val="none"/>
          <w:shd w:val="clear" w:color="auto" w:fill="FFFFFF"/>
          <w:lang w:eastAsia="zh-CN" w:bidi="ar-SA"/>
        </w:rPr>
        <w:t>积极</w:t>
      </w:r>
      <w:r>
        <w:rPr>
          <w:rFonts w:hint="default" w:ascii="Times New Roman" w:hAnsi="Times New Roman" w:eastAsia="仿宋_GB2312" w:cs="Times New Roman"/>
          <w:color w:val="000000"/>
          <w:sz w:val="32"/>
          <w:szCs w:val="19"/>
          <w:highlight w:val="none"/>
          <w:shd w:val="clear" w:color="auto" w:fill="FFFFFF"/>
          <w:lang w:bidi="ar-SA"/>
        </w:rPr>
        <w:t>落实2022年区政务公开工作要点</w:t>
      </w:r>
      <w:r>
        <w:rPr>
          <w:rFonts w:hint="default" w:ascii="Times New Roman" w:hAnsi="Times New Roman" w:eastAsia="仿宋_GB2312" w:cs="Times New Roman"/>
          <w:color w:val="000000"/>
          <w:sz w:val="32"/>
          <w:szCs w:val="19"/>
          <w:highlight w:val="none"/>
          <w:shd w:val="clear" w:color="auto" w:fill="FFFFFF"/>
          <w:lang w:eastAsia="zh-CN" w:bidi="ar-SA"/>
        </w:rPr>
        <w:t>，不断加强政策解读、扩宽公开范围、提升服务质量，扎实推进政府信息公开</w:t>
      </w:r>
      <w:r>
        <w:rPr>
          <w:rFonts w:hint="default" w:ascii="Times New Roman" w:hAnsi="Times New Roman" w:eastAsia="仿宋_GB2312" w:cs="Times New Roman"/>
          <w:strike w:val="0"/>
          <w:dstrike w:val="0"/>
          <w:color w:val="000000"/>
          <w:sz w:val="32"/>
          <w:szCs w:val="19"/>
          <w:highlight w:val="none"/>
          <w:shd w:val="clear" w:color="auto" w:fill="FFFFFF"/>
          <w:lang w:bidi="ar-SA"/>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trike w:val="0"/>
          <w:dstrike w:val="0"/>
          <w:color w:val="000000"/>
          <w:sz w:val="32"/>
          <w:szCs w:val="19"/>
          <w:highlight w:val="none"/>
          <w:shd w:val="clear" w:color="auto" w:fill="FFFFFF"/>
          <w:lang w:bidi="ar-SA"/>
        </w:rPr>
      </w:pPr>
      <w:r>
        <w:rPr>
          <w:rFonts w:hint="default" w:ascii="Times New Roman" w:hAnsi="Times New Roman" w:eastAsia="楷体_GB2312" w:cs="Times New Roman"/>
          <w:strike w:val="0"/>
          <w:dstrike w:val="0"/>
          <w:color w:val="000000"/>
          <w:sz w:val="32"/>
          <w:szCs w:val="19"/>
          <w:highlight w:val="none"/>
          <w:shd w:val="clear" w:color="auto" w:fill="FFFFFF"/>
          <w:lang w:bidi="ar-SA"/>
        </w:rPr>
        <w:t>（一）主动公开情况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trike w:val="0"/>
          <w:dstrike w:val="0"/>
          <w:color w:val="000000"/>
          <w:sz w:val="32"/>
          <w:szCs w:val="19"/>
          <w:highlight w:val="none"/>
          <w:shd w:val="clear" w:color="auto" w:fill="FFFFFF"/>
          <w:lang w:bidi="ar-SA"/>
        </w:rPr>
      </w:pP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2022</w:t>
      </w:r>
      <w:r>
        <w:rPr>
          <w:rFonts w:hint="default" w:ascii="Times New Roman" w:hAnsi="Times New Roman" w:eastAsia="仿宋_GB2312" w:cs="Times New Roman"/>
          <w:strike w:val="0"/>
          <w:dstrike w:val="0"/>
          <w:color w:val="000000"/>
          <w:sz w:val="32"/>
          <w:szCs w:val="19"/>
          <w:highlight w:val="none"/>
          <w:shd w:val="clear" w:color="auto" w:fill="FFFFFF"/>
          <w:lang w:bidi="ar-SA"/>
        </w:rPr>
        <w:t>年</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通过黄埔信息网</w:t>
      </w:r>
      <w:r>
        <w:rPr>
          <w:rFonts w:hint="default" w:ascii="Times New Roman" w:hAnsi="Times New Roman" w:eastAsia="仿宋_GB2312" w:cs="Times New Roman"/>
          <w:strike w:val="0"/>
          <w:dstrike w:val="0"/>
          <w:color w:val="000000"/>
          <w:sz w:val="32"/>
          <w:szCs w:val="19"/>
          <w:highlight w:val="none"/>
          <w:shd w:val="clear" w:color="auto" w:fill="FFFFFF"/>
          <w:lang w:bidi="ar-SA"/>
        </w:rPr>
        <w:t>主动公开政府信息</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158</w:t>
      </w:r>
      <w:r>
        <w:rPr>
          <w:rFonts w:hint="default" w:ascii="Times New Roman" w:hAnsi="Times New Roman" w:eastAsia="仿宋_GB2312" w:cs="Times New Roman"/>
          <w:strike w:val="0"/>
          <w:dstrike w:val="0"/>
          <w:color w:val="000000"/>
          <w:sz w:val="32"/>
          <w:szCs w:val="19"/>
          <w:highlight w:val="none"/>
          <w:shd w:val="clear" w:color="auto" w:fill="FFFFFF"/>
          <w:lang w:bidi="ar-SA"/>
        </w:rPr>
        <w:t>条，</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其中</w:t>
      </w:r>
      <w:r>
        <w:rPr>
          <w:rFonts w:hint="default" w:ascii="Times New Roman" w:hAnsi="Times New Roman" w:eastAsia="仿宋_GB2312" w:cs="Times New Roman"/>
          <w:strike w:val="0"/>
          <w:dstrike w:val="0"/>
          <w:color w:val="000000"/>
          <w:sz w:val="32"/>
          <w:szCs w:val="19"/>
          <w:highlight w:val="none"/>
          <w:shd w:val="clear" w:color="auto" w:fill="FFFFFF"/>
          <w:lang w:bidi="ar-SA"/>
        </w:rPr>
        <w:t>组织机构</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5</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条</w:t>
      </w:r>
      <w:r>
        <w:rPr>
          <w:rFonts w:hint="default" w:ascii="Times New Roman" w:hAnsi="Times New Roman" w:eastAsia="仿宋_GB2312" w:cs="Times New Roman"/>
          <w:strike w:val="0"/>
          <w:dstrike w:val="0"/>
          <w:color w:val="000000"/>
          <w:sz w:val="32"/>
          <w:szCs w:val="19"/>
          <w:highlight w:val="none"/>
          <w:shd w:val="clear" w:color="auto" w:fill="FFFFFF"/>
          <w:lang w:bidi="ar-SA"/>
        </w:rPr>
        <w:t>、部门文件</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90条</w:t>
      </w:r>
      <w:r>
        <w:rPr>
          <w:rFonts w:hint="default" w:ascii="Times New Roman" w:hAnsi="Times New Roman" w:eastAsia="仿宋_GB2312" w:cs="Times New Roman"/>
          <w:strike w:val="0"/>
          <w:dstrike w:val="0"/>
          <w:color w:val="000000"/>
          <w:sz w:val="32"/>
          <w:szCs w:val="19"/>
          <w:highlight w:val="none"/>
          <w:shd w:val="clear" w:color="auto" w:fill="FFFFFF"/>
          <w:lang w:bidi="ar-SA"/>
        </w:rPr>
        <w:t>、行政执法</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1条</w:t>
      </w:r>
      <w:r>
        <w:rPr>
          <w:rFonts w:hint="default" w:ascii="Times New Roman" w:hAnsi="Times New Roman" w:eastAsia="仿宋_GB2312" w:cs="Times New Roman"/>
          <w:strike w:val="0"/>
          <w:dstrike w:val="0"/>
          <w:color w:val="000000"/>
          <w:sz w:val="32"/>
          <w:szCs w:val="19"/>
          <w:highlight w:val="none"/>
          <w:shd w:val="clear" w:color="auto" w:fill="FFFFFF"/>
          <w:lang w:bidi="ar-SA"/>
        </w:rPr>
        <w:t>、工作动态</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55条</w:t>
      </w:r>
      <w:r>
        <w:rPr>
          <w:rFonts w:hint="default" w:ascii="Times New Roman" w:hAnsi="Times New Roman" w:eastAsia="仿宋_GB2312" w:cs="Times New Roman"/>
          <w:strike w:val="0"/>
          <w:dstrike w:val="0"/>
          <w:color w:val="000000"/>
          <w:sz w:val="32"/>
          <w:szCs w:val="19"/>
          <w:highlight w:val="none"/>
          <w:shd w:val="clear" w:color="auto" w:fill="FFFFFF"/>
          <w:lang w:bidi="ar-SA"/>
        </w:rPr>
        <w:t>、财政预决算</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7条</w:t>
      </w:r>
      <w:r>
        <w:rPr>
          <w:rFonts w:hint="default" w:ascii="Times New Roman" w:hAnsi="Times New Roman" w:eastAsia="仿宋_GB2312" w:cs="Times New Roman"/>
          <w:strike w:val="0"/>
          <w:dstrike w:val="0"/>
          <w:color w:val="000000"/>
          <w:sz w:val="32"/>
          <w:szCs w:val="19"/>
          <w:highlight w:val="none"/>
          <w:shd w:val="clear" w:color="auto" w:fill="FFFFFF"/>
          <w:lang w:bidi="ar-SA"/>
        </w:rPr>
        <w:t>。</w:t>
      </w:r>
    </w:p>
    <w:p>
      <w:pPr>
        <w:pStyle w:val="5"/>
        <w:widowControl/>
        <w:shd w:val="clear" w:color="auto" w:fill="FFFFFF"/>
        <w:spacing w:beforeAutospacing="0" w:afterAutospacing="0"/>
        <w:ind w:firstLine="640" w:firstLineChars="200"/>
        <w:jc w:val="center"/>
        <w:rPr>
          <w:rFonts w:hint="default" w:ascii="Times New Roman" w:hAnsi="Times New Roman" w:eastAsia="仿宋_GB2312" w:cs="Times New Roman"/>
          <w:strike w:val="0"/>
          <w:dstrike w:val="0"/>
          <w:color w:val="000000"/>
          <w:sz w:val="32"/>
          <w:szCs w:val="19"/>
          <w:highlight w:val="none"/>
          <w:shd w:val="clear" w:color="auto" w:fill="FFFFFF"/>
          <w:lang w:eastAsia="zh-CN" w:bidi="ar-SA"/>
        </w:rPr>
      </w:pP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drawing>
          <wp:inline distT="0" distB="0" distL="114300" distR="114300">
            <wp:extent cx="4672330" cy="3562350"/>
            <wp:effectExtent l="4445" t="4445" r="952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trike w:val="0"/>
          <w:dstrike w:val="0"/>
          <w:color w:val="000000"/>
          <w:sz w:val="32"/>
          <w:szCs w:val="19"/>
          <w:highlight w:val="none"/>
          <w:shd w:val="clear" w:color="auto" w:fill="FFFFFF"/>
          <w:lang w:bidi="ar-SA"/>
        </w:rPr>
      </w:pPr>
      <w:r>
        <w:rPr>
          <w:rFonts w:hint="default" w:ascii="Times New Roman" w:hAnsi="Times New Roman" w:eastAsia="楷体_GB2312" w:cs="Times New Roman"/>
          <w:strike w:val="0"/>
          <w:dstrike w:val="0"/>
          <w:color w:val="000000"/>
          <w:sz w:val="32"/>
          <w:szCs w:val="19"/>
          <w:highlight w:val="none"/>
          <w:shd w:val="clear" w:color="auto" w:fill="FFFFFF"/>
          <w:lang w:bidi="ar-SA"/>
        </w:rPr>
        <w:t>（二）依申请公开情况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trike w:val="0"/>
          <w:dstrike w:val="0"/>
          <w:color w:val="000000"/>
          <w:sz w:val="32"/>
          <w:szCs w:val="19"/>
          <w:highlight w:val="none"/>
          <w:shd w:val="clear" w:color="auto" w:fill="FFFFFF"/>
          <w:lang w:bidi="ar-SA"/>
        </w:rPr>
      </w:pP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2022</w:t>
      </w:r>
      <w:r>
        <w:rPr>
          <w:rFonts w:hint="default" w:ascii="Times New Roman" w:hAnsi="Times New Roman" w:eastAsia="仿宋_GB2312" w:cs="Times New Roman"/>
          <w:strike w:val="0"/>
          <w:dstrike w:val="0"/>
          <w:color w:val="000000"/>
          <w:sz w:val="32"/>
          <w:szCs w:val="19"/>
          <w:highlight w:val="none"/>
          <w:shd w:val="clear" w:color="auto" w:fill="FFFFFF"/>
          <w:lang w:bidi="ar-SA"/>
        </w:rPr>
        <w:t>年受理政府信息公开申请 1</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9</w:t>
      </w:r>
      <w:r>
        <w:rPr>
          <w:rFonts w:hint="default" w:ascii="Times New Roman" w:hAnsi="Times New Roman" w:eastAsia="仿宋_GB2312" w:cs="Times New Roman"/>
          <w:strike w:val="0"/>
          <w:dstrike w:val="0"/>
          <w:color w:val="000000"/>
          <w:sz w:val="32"/>
          <w:szCs w:val="19"/>
          <w:highlight w:val="none"/>
          <w:shd w:val="clear" w:color="auto" w:fill="FFFFFF"/>
          <w:lang w:bidi="ar-SA"/>
        </w:rPr>
        <w:t xml:space="preserve"> 件</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（其中</w:t>
      </w:r>
      <w:r>
        <w:rPr>
          <w:rFonts w:hint="default" w:ascii="Times New Roman" w:hAnsi="Times New Roman" w:eastAsia="仿宋_GB2312" w:cs="Times New Roman"/>
          <w:strike w:val="0"/>
          <w:dstrike w:val="0"/>
          <w:color w:val="000000"/>
          <w:sz w:val="32"/>
          <w:szCs w:val="19"/>
          <w:highlight w:val="none"/>
          <w:shd w:val="clear" w:color="auto" w:fill="FFFFFF"/>
          <w:lang w:bidi="ar-SA"/>
        </w:rPr>
        <w:t>自然人</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申请</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18件、法人或其他组织申请1件</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2021</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年结转</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1件（自然人申请）</w:t>
      </w:r>
      <w:r>
        <w:rPr>
          <w:rFonts w:hint="default" w:ascii="Times New Roman" w:hAnsi="Times New Roman" w:eastAsia="仿宋_GB2312" w:cs="Times New Roman"/>
          <w:strike w:val="0"/>
          <w:dstrike w:val="0"/>
          <w:color w:val="000000"/>
          <w:sz w:val="32"/>
          <w:szCs w:val="19"/>
          <w:highlight w:val="none"/>
          <w:shd w:val="clear" w:color="auto" w:fill="FFFFFF"/>
          <w:lang w:bidi="ar-SA"/>
        </w:rPr>
        <w:t>，其中</w:t>
      </w:r>
      <w:r>
        <w:rPr>
          <w:rFonts w:hint="eastAsia" w:ascii="Times New Roman" w:hAnsi="Times New Roman" w:eastAsia="仿宋_GB2312" w:cs="Times New Roman"/>
          <w:strike w:val="0"/>
          <w:dstrike w:val="0"/>
          <w:color w:val="000000"/>
          <w:sz w:val="32"/>
          <w:szCs w:val="19"/>
          <w:highlight w:val="none"/>
          <w:shd w:val="clear" w:color="auto" w:fill="FFFFFF"/>
          <w:lang w:val="en-US" w:eastAsia="zh-CN" w:bidi="ar-SA"/>
        </w:rPr>
        <w:t>19件按时办结（</w:t>
      </w:r>
      <w:r>
        <w:rPr>
          <w:rFonts w:hint="default" w:ascii="Times New Roman" w:hAnsi="Times New Roman" w:eastAsia="仿宋_GB2312" w:cs="Times New Roman"/>
          <w:strike w:val="0"/>
          <w:dstrike w:val="0"/>
          <w:color w:val="000000"/>
          <w:sz w:val="32"/>
          <w:szCs w:val="19"/>
          <w:highlight w:val="none"/>
          <w:shd w:val="clear" w:color="auto" w:fill="FFFFFF"/>
          <w:lang w:bidi="ar-SA"/>
        </w:rPr>
        <w:t>予以公开 5 件、部分公开</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1件</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w:t>
      </w:r>
      <w:r>
        <w:rPr>
          <w:rFonts w:hint="default" w:ascii="Times New Roman" w:hAnsi="Times New Roman" w:eastAsia="仿宋_GB2312" w:cs="Times New Roman"/>
          <w:strike w:val="0"/>
          <w:dstrike w:val="0"/>
          <w:color w:val="000000"/>
          <w:sz w:val="32"/>
          <w:szCs w:val="19"/>
          <w:highlight w:val="none"/>
          <w:shd w:val="clear" w:color="auto" w:fill="FFFFFF"/>
          <w:lang w:bidi="ar-SA"/>
        </w:rPr>
        <w:t xml:space="preserve">本机关不掌握相关政府信息无法提供 </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13</w:t>
      </w:r>
      <w:r>
        <w:rPr>
          <w:rFonts w:hint="default" w:ascii="Times New Roman" w:hAnsi="Times New Roman" w:eastAsia="仿宋_GB2312" w:cs="Times New Roman"/>
          <w:strike w:val="0"/>
          <w:dstrike w:val="0"/>
          <w:color w:val="000000"/>
          <w:sz w:val="32"/>
          <w:szCs w:val="19"/>
          <w:highlight w:val="none"/>
          <w:shd w:val="clear" w:color="auto" w:fill="FFFFFF"/>
          <w:lang w:bidi="ar-SA"/>
        </w:rPr>
        <w:t xml:space="preserve"> 件</w:t>
      </w:r>
      <w:r>
        <w:rPr>
          <w:rFonts w:hint="eastAsia" w:ascii="Times New Roman" w:hAnsi="Times New Roman" w:eastAsia="仿宋_GB2312" w:cs="Times New Roman"/>
          <w:strike w:val="0"/>
          <w:dstrike w:val="0"/>
          <w:color w:val="000000"/>
          <w:sz w:val="32"/>
          <w:szCs w:val="19"/>
          <w:highlight w:val="none"/>
          <w:shd w:val="clear" w:color="auto" w:fill="FFFFFF"/>
          <w:lang w:val="en-US" w:eastAsia="zh-CN" w:bidi="ar-SA"/>
        </w:rPr>
        <w:t>）</w:t>
      </w:r>
      <w:r>
        <w:rPr>
          <w:rFonts w:hint="default" w:ascii="Times New Roman" w:hAnsi="Times New Roman" w:eastAsia="仿宋_GB2312" w:cs="Times New Roman"/>
          <w:strike w:val="0"/>
          <w:dstrike w:val="0"/>
          <w:color w:val="000000"/>
          <w:sz w:val="32"/>
          <w:szCs w:val="19"/>
          <w:highlight w:val="none"/>
          <w:shd w:val="clear" w:color="auto" w:fill="FFFFFF"/>
          <w:lang w:bidi="ar-SA"/>
        </w:rPr>
        <w:t>，</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1件</w:t>
      </w:r>
      <w:r>
        <w:rPr>
          <w:rFonts w:hint="default" w:ascii="Times New Roman" w:hAnsi="Times New Roman" w:eastAsia="仿宋_GB2312" w:cs="Times New Roman"/>
          <w:strike w:val="0"/>
          <w:dstrike w:val="0"/>
          <w:color w:val="000000"/>
          <w:sz w:val="32"/>
          <w:szCs w:val="19"/>
          <w:highlight w:val="none"/>
          <w:shd w:val="clear" w:color="auto" w:fill="FFFFFF"/>
          <w:lang w:bidi="ar-SA"/>
        </w:rPr>
        <w:t>结转下年度继续办理，没有因政府信息公开行政复议、行政诉讼情况。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trike w:val="0"/>
          <w:dstrike w:val="0"/>
          <w:color w:val="000000"/>
          <w:sz w:val="32"/>
          <w:szCs w:val="19"/>
          <w:highlight w:val="none"/>
          <w:shd w:val="clear" w:color="auto" w:fill="FFFFFF"/>
          <w:lang w:bidi="ar-SA"/>
        </w:rPr>
      </w:pPr>
      <w:r>
        <w:rPr>
          <w:rFonts w:hint="default" w:ascii="Times New Roman" w:hAnsi="Times New Roman" w:eastAsia="楷体_GB2312" w:cs="Times New Roman"/>
          <w:strike w:val="0"/>
          <w:dstrike w:val="0"/>
          <w:color w:val="000000"/>
          <w:sz w:val="32"/>
          <w:szCs w:val="19"/>
          <w:highlight w:val="none"/>
          <w:shd w:val="clear" w:color="auto" w:fill="FFFFFF"/>
          <w:lang w:bidi="ar-SA"/>
        </w:rPr>
        <w:t>（三）政府信息管理情况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trike w:val="0"/>
          <w:dstrike w:val="0"/>
          <w:color w:val="000000"/>
          <w:sz w:val="32"/>
          <w:szCs w:val="19"/>
          <w:highlight w:val="none"/>
          <w:shd w:val="clear" w:color="auto" w:fill="FFFFFF"/>
          <w:lang w:bidi="ar-SA"/>
        </w:rPr>
      </w:pPr>
      <w:r>
        <w:rPr>
          <w:rFonts w:hint="default" w:ascii="Times New Roman" w:hAnsi="Times New Roman" w:eastAsia="仿宋_GB2312" w:cs="Times New Roman"/>
          <w:strike w:val="0"/>
          <w:dstrike w:val="0"/>
          <w:color w:val="000000"/>
          <w:sz w:val="32"/>
          <w:szCs w:val="19"/>
          <w:highlight w:val="none"/>
          <w:shd w:val="clear" w:color="auto" w:fill="FFFFFF"/>
          <w:lang w:bidi="ar-SA"/>
        </w:rPr>
        <w:t>强化政府信息管理，建立文件有效性台账清单，定期有序安排更新。</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trike w:val="0"/>
          <w:dstrike w:val="0"/>
          <w:color w:val="000000"/>
          <w:sz w:val="32"/>
          <w:szCs w:val="19"/>
          <w:highlight w:val="none"/>
          <w:shd w:val="clear" w:color="auto" w:fill="FFFFFF"/>
          <w:lang w:bidi="ar-SA"/>
        </w:rPr>
      </w:pPr>
      <w:r>
        <w:rPr>
          <w:rFonts w:hint="default" w:ascii="Times New Roman" w:hAnsi="Times New Roman" w:eastAsia="楷体_GB2312" w:cs="Times New Roman"/>
          <w:strike w:val="0"/>
          <w:dstrike w:val="0"/>
          <w:color w:val="000000"/>
          <w:sz w:val="32"/>
          <w:szCs w:val="19"/>
          <w:highlight w:val="none"/>
          <w:shd w:val="clear" w:color="auto" w:fill="FFFFFF"/>
          <w:lang w:bidi="ar-SA"/>
        </w:rPr>
        <w:t>（四）政府信息公开平台建设及监督保障情况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trike w:val="0"/>
          <w:dstrike w:val="0"/>
          <w:color w:val="000000"/>
          <w:sz w:val="32"/>
          <w:szCs w:val="19"/>
          <w:highlight w:val="none"/>
          <w:shd w:val="clear" w:color="auto" w:fill="FFFFFF"/>
          <w:lang w:bidi="ar-SA"/>
        </w:rPr>
      </w:pPr>
      <w:r>
        <w:rPr>
          <w:rFonts w:hint="default" w:ascii="Times New Roman" w:hAnsi="Times New Roman" w:eastAsia="仿宋_GB2312" w:cs="Times New Roman"/>
          <w:strike w:val="0"/>
          <w:dstrike w:val="0"/>
          <w:color w:val="000000"/>
          <w:sz w:val="32"/>
          <w:szCs w:val="19"/>
          <w:highlight w:val="none"/>
          <w:shd w:val="clear" w:color="auto" w:fill="FFFFFF"/>
          <w:lang w:bidi="ar-SA"/>
        </w:rPr>
        <w:t>按照政府网站建设新平台的指引和考核要求，规范栏目设置，及时维护更新平台信息。严格执行信息发布“三审三校”</w:t>
      </w:r>
      <w:r>
        <w:rPr>
          <w:rFonts w:hint="default" w:ascii="Times New Roman" w:hAnsi="Times New Roman" w:eastAsia="仿宋_GB2312" w:cs="Times New Roman"/>
          <w:strike w:val="0"/>
          <w:dstrike w:val="0"/>
          <w:color w:val="000000"/>
          <w:sz w:val="32"/>
          <w:szCs w:val="19"/>
          <w:highlight w:val="none"/>
          <w:shd w:val="clear" w:color="auto" w:fill="FFFFFF"/>
          <w:lang w:eastAsia="zh-CN" w:bidi="ar-SA"/>
        </w:rPr>
        <w:t>制度</w:t>
      </w:r>
      <w:r>
        <w:rPr>
          <w:rFonts w:hint="default" w:ascii="Times New Roman" w:hAnsi="Times New Roman" w:eastAsia="仿宋_GB2312" w:cs="Times New Roman"/>
          <w:strike w:val="0"/>
          <w:dstrike w:val="0"/>
          <w:color w:val="000000"/>
          <w:sz w:val="32"/>
          <w:szCs w:val="19"/>
          <w:highlight w:val="none"/>
          <w:shd w:val="clear" w:color="auto" w:fill="FFFFFF"/>
          <w:lang w:bidi="ar-SA"/>
        </w:rPr>
        <w:t>，落实监督岗位责任。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trike w:val="0"/>
          <w:dstrike w:val="0"/>
          <w:color w:val="000000"/>
          <w:sz w:val="32"/>
          <w:szCs w:val="19"/>
          <w:highlight w:val="none"/>
          <w:shd w:val="clear" w:color="auto" w:fill="FFFFFF"/>
          <w:lang w:bidi="ar-SA"/>
        </w:rPr>
      </w:pPr>
      <w:r>
        <w:rPr>
          <w:rFonts w:hint="default" w:ascii="Times New Roman" w:hAnsi="Times New Roman" w:eastAsia="楷体_GB2312" w:cs="Times New Roman"/>
          <w:strike w:val="0"/>
          <w:dstrike w:val="0"/>
          <w:color w:val="000000"/>
          <w:sz w:val="32"/>
          <w:szCs w:val="19"/>
          <w:highlight w:val="none"/>
          <w:shd w:val="clear" w:color="auto" w:fill="FFFFFF"/>
          <w:lang w:bidi="ar-SA"/>
        </w:rPr>
        <w:t>（五）202</w:t>
      </w:r>
      <w:r>
        <w:rPr>
          <w:rFonts w:hint="default" w:ascii="Times New Roman" w:hAnsi="Times New Roman" w:eastAsia="楷体_GB2312" w:cs="Times New Roman"/>
          <w:strike w:val="0"/>
          <w:dstrike w:val="0"/>
          <w:color w:val="000000"/>
          <w:sz w:val="32"/>
          <w:szCs w:val="19"/>
          <w:highlight w:val="none"/>
          <w:shd w:val="clear" w:color="auto" w:fill="FFFFFF"/>
          <w:lang w:val="en-US" w:eastAsia="zh-CN" w:bidi="ar-SA"/>
        </w:rPr>
        <w:t>2</w:t>
      </w:r>
      <w:r>
        <w:rPr>
          <w:rFonts w:hint="default" w:ascii="Times New Roman" w:hAnsi="Times New Roman" w:eastAsia="楷体_GB2312" w:cs="Times New Roman"/>
          <w:strike w:val="0"/>
          <w:dstrike w:val="0"/>
          <w:color w:val="000000"/>
          <w:sz w:val="32"/>
          <w:szCs w:val="19"/>
          <w:highlight w:val="none"/>
          <w:shd w:val="clear" w:color="auto" w:fill="FFFFFF"/>
          <w:lang w:bidi="ar-SA"/>
        </w:rPr>
        <w:t>年</w:t>
      </w:r>
      <w:r>
        <w:rPr>
          <w:rFonts w:hint="default" w:ascii="Times New Roman" w:hAnsi="Times New Roman" w:eastAsia="楷体_GB2312" w:cs="Times New Roman"/>
          <w:strike w:val="0"/>
          <w:dstrike w:val="0"/>
          <w:color w:val="000000"/>
          <w:sz w:val="32"/>
          <w:szCs w:val="19"/>
          <w:highlight w:val="none"/>
          <w:shd w:val="clear" w:color="auto" w:fill="FFFFFF"/>
          <w:lang w:eastAsia="zh-CN" w:bidi="ar-SA"/>
        </w:rPr>
        <w:t>区</w:t>
      </w:r>
      <w:r>
        <w:rPr>
          <w:rFonts w:hint="default" w:ascii="Times New Roman" w:hAnsi="Times New Roman" w:eastAsia="楷体_GB2312" w:cs="Times New Roman"/>
          <w:strike w:val="0"/>
          <w:dstrike w:val="0"/>
          <w:color w:val="000000"/>
          <w:sz w:val="32"/>
          <w:szCs w:val="19"/>
          <w:highlight w:val="none"/>
          <w:shd w:val="clear" w:color="auto" w:fill="FFFFFF"/>
          <w:lang w:bidi="ar-SA"/>
        </w:rPr>
        <w:t>政务公开工作要点落实情况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trike w:val="0"/>
          <w:dstrike w:val="0"/>
          <w:color w:val="000000"/>
          <w:sz w:val="32"/>
          <w:szCs w:val="19"/>
          <w:highlight w:val="none"/>
          <w:shd w:val="clear" w:color="auto" w:fill="FFFFFF"/>
          <w:lang w:bidi="ar-SA"/>
        </w:rPr>
      </w:pPr>
      <w:r>
        <w:rPr>
          <w:rFonts w:hint="default" w:ascii="Times New Roman" w:hAnsi="Times New Roman" w:eastAsia="仿宋_GB2312" w:cs="Times New Roman"/>
          <w:strike w:val="0"/>
          <w:dstrike w:val="0"/>
          <w:color w:val="000000"/>
          <w:sz w:val="32"/>
          <w:szCs w:val="19"/>
          <w:highlight w:val="none"/>
          <w:shd w:val="clear" w:color="auto" w:fill="FFFFFF"/>
          <w:lang w:bidi="ar-SA"/>
        </w:rPr>
        <w:t>为规范我区农村集体财务公开工作，确保农村集体成员的知情权和监督权，促进农村集体财务公开工作的常态化和规范化。2022 年共完成 466 个次的区级农村集体财务“橱窗式”公开检查任务，财务公开规范率达 99.36%。为进一步拓宽农村集体财务公开渠道，2021年选取黄埔街下沙经联社、大沙街横沙经联社等 8 个单位开展农村集体公开栏信息化建设试点工作，创新线上公开方式和推动“橱窗式”公开载体多样化发展，建立“点对点” 信息化电子公开栏，实现农村集体“三资”平台与信息化电子公开栏数据实时对接，进一步提升财务公开的及时性、完整性和同步性，2022年继续推进电子公开栏建设工作，目前已累计完成18个电子公开栏建设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trike w:val="0"/>
          <w:dstrike w:val="0"/>
          <w:color w:val="000000"/>
          <w:sz w:val="32"/>
          <w:szCs w:val="19"/>
          <w:highlight w:val="none"/>
          <w:shd w:val="clear" w:color="auto" w:fill="FFFFFF"/>
          <w:lang w:bidi="ar-SA"/>
        </w:rPr>
      </w:pPr>
      <w:r>
        <w:rPr>
          <w:rFonts w:hint="default" w:ascii="Times New Roman" w:hAnsi="Times New Roman" w:eastAsia="仿宋_GB2312" w:cs="Times New Roman"/>
          <w:strike w:val="0"/>
          <w:dstrike w:val="0"/>
          <w:color w:val="000000"/>
          <w:sz w:val="32"/>
          <w:szCs w:val="19"/>
          <w:highlight w:val="none"/>
          <w:shd w:val="clear" w:color="auto" w:fill="FFFFFF"/>
          <w:lang w:bidi="ar-SA"/>
        </w:rPr>
        <w:t>严格落实《农业农村部办公厅关于印发涉农补贴领域基层政务公开标准指引的通知》（农办计财〔2019〕41号），及时更新“涉农补贴领域”专栏。2022年，在黄埔信息网“涉农补贴领域”专栏公开涉农补贴信息3</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8</w:t>
      </w:r>
      <w:r>
        <w:rPr>
          <w:rFonts w:hint="default" w:ascii="Times New Roman" w:hAnsi="Times New Roman" w:eastAsia="仿宋_GB2312" w:cs="Times New Roman"/>
          <w:strike w:val="0"/>
          <w:dstrike w:val="0"/>
          <w:color w:val="000000"/>
          <w:sz w:val="32"/>
          <w:szCs w:val="19"/>
          <w:highlight w:val="none"/>
          <w:shd w:val="clear" w:color="auto" w:fill="FFFFFF"/>
          <w:lang w:bidi="ar-SA"/>
        </w:rPr>
        <w:t>条，其中申报通知6条、结果公示</w:t>
      </w:r>
      <w:r>
        <w:rPr>
          <w:rFonts w:hint="default" w:ascii="Times New Roman" w:hAnsi="Times New Roman" w:eastAsia="仿宋_GB2312" w:cs="Times New Roman"/>
          <w:strike w:val="0"/>
          <w:dstrike w:val="0"/>
          <w:color w:val="000000"/>
          <w:sz w:val="32"/>
          <w:szCs w:val="19"/>
          <w:highlight w:val="none"/>
          <w:shd w:val="clear" w:color="auto" w:fill="FFFFFF"/>
          <w:lang w:val="en-US" w:eastAsia="zh-CN" w:bidi="ar-SA"/>
        </w:rPr>
        <w:t>32</w:t>
      </w:r>
      <w:r>
        <w:rPr>
          <w:rFonts w:hint="default" w:ascii="Times New Roman" w:hAnsi="Times New Roman" w:eastAsia="仿宋_GB2312" w:cs="Times New Roman"/>
          <w:strike w:val="0"/>
          <w:dstrike w:val="0"/>
          <w:color w:val="000000"/>
          <w:sz w:val="32"/>
          <w:szCs w:val="19"/>
          <w:highlight w:val="none"/>
          <w:shd w:val="clear" w:color="auto" w:fill="FFFFFF"/>
          <w:lang w:bidi="ar-SA"/>
        </w:rPr>
        <w:t>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二、主动公开政府信息情况</w:t>
      </w:r>
    </w:p>
    <w:tbl>
      <w:tblPr>
        <w:tblStyle w:val="6"/>
        <w:tblW w:w="5000" w:type="pct"/>
        <w:jc w:val="center"/>
        <w:tblLayout w:type="autofit"/>
        <w:tblCellMar>
          <w:top w:w="0" w:type="dxa"/>
          <w:left w:w="0" w:type="dxa"/>
          <w:bottom w:w="0" w:type="dxa"/>
          <w:right w:w="0" w:type="dxa"/>
        </w:tblCellMar>
      </w:tblPr>
      <w:tblGrid>
        <w:gridCol w:w="2238"/>
        <w:gridCol w:w="2238"/>
        <w:gridCol w:w="2238"/>
        <w:gridCol w:w="2245"/>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1249" w:type="pct"/>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本年制发件数</w:t>
            </w:r>
          </w:p>
        </w:tc>
        <w:tc>
          <w:tcPr>
            <w:tcW w:w="1249" w:type="pct"/>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本年废止件数</w:t>
            </w:r>
          </w:p>
        </w:tc>
        <w:tc>
          <w:tcPr>
            <w:tcW w:w="1251" w:type="pct"/>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规章</w:t>
            </w:r>
          </w:p>
        </w:tc>
        <w:tc>
          <w:tcPr>
            <w:tcW w:w="12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12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1251"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行政规范性文件</w:t>
            </w:r>
          </w:p>
        </w:tc>
        <w:tc>
          <w:tcPr>
            <w:tcW w:w="12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1</w:t>
            </w:r>
          </w:p>
        </w:tc>
        <w:tc>
          <w:tcPr>
            <w:tcW w:w="12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1251"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8</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第二十条第（五）项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行政许可</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5</w:t>
            </w:r>
            <w:r>
              <w:rPr>
                <w:rFonts w:hint="default" w:ascii="Times New Roman" w:hAnsi="Times New Roman" w:cs="Times New Roman"/>
                <w:color w:val="000000"/>
                <w:sz w:val="24"/>
                <w:lang w:val="en-US" w:eastAsia="zh-CN" w:bidi="ar-SA"/>
              </w:rPr>
              <w:t>5</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3750" w:type="pct"/>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行政处罚</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auto"/>
                <w:sz w:val="24"/>
                <w:lang w:eastAsia="zh-CN" w:bidi="ar-SA"/>
              </w:rPr>
            </w:pPr>
            <w:r>
              <w:rPr>
                <w:rFonts w:hint="eastAsia" w:ascii="Times New Roman" w:hAnsi="Times New Roman" w:eastAsia="宋体" w:cs="Times New Roman"/>
                <w:color w:val="auto"/>
                <w:sz w:val="24"/>
                <w:lang w:val="en-US" w:eastAsia="zh-CN" w:bidi="ar-SA"/>
              </w:rPr>
              <w:t>8</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行政强制</w:t>
            </w:r>
          </w:p>
        </w:tc>
        <w:tc>
          <w:tcPr>
            <w:tcW w:w="3750" w:type="pct"/>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auto"/>
                <w:sz w:val="24"/>
                <w:lang w:bidi="ar-SA"/>
              </w:rPr>
            </w:pPr>
            <w:r>
              <w:rPr>
                <w:rFonts w:hint="eastAsia" w:ascii="Times New Roman" w:hAnsi="Times New Roman" w:eastAsia="宋体" w:cs="Times New Roman"/>
                <w:color w:val="auto"/>
                <w:sz w:val="24"/>
                <w:lang w:val="en-US" w:eastAsia="zh-CN" w:bidi="ar-SA"/>
              </w:rPr>
              <w:t>1</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第二十条第（八）项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3750" w:type="pct"/>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本年收费金额（单位：万元）</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rPr>
            </w:pPr>
            <w:r>
              <w:rPr>
                <w:rFonts w:hint="default"/>
              </w:rPr>
              <w:t>行政事业性收费</w:t>
            </w:r>
          </w:p>
        </w:tc>
        <w:tc>
          <w:tcPr>
            <w:tcW w:w="3750" w:type="pct"/>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val="en-US" w:eastAsia="zh-CN" w:bidi="ar-SA"/>
              </w:rPr>
            </w:pPr>
            <w:r>
              <w:rPr>
                <w:rFonts w:hint="default" w:ascii="Times New Roman" w:hAnsi="Times New Roman" w:cs="Times New Roman"/>
                <w:color w:val="000000"/>
                <w:sz w:val="24"/>
                <w:szCs w:val="24"/>
                <w:lang w:val="en-US" w:eastAsia="zh-CN" w:bidi="ar-SA"/>
              </w:rPr>
              <w:t>0</w:t>
            </w:r>
          </w:p>
        </w:tc>
      </w:tr>
    </w:tbl>
    <w:p>
      <w:pPr>
        <w:pStyle w:val="5"/>
        <w:widowControl/>
        <w:numPr>
          <w:ilvl w:val="0"/>
          <w:numId w:val="1"/>
        </w:numPr>
        <w:shd w:val="clear" w:color="auto" w:fill="FFFFFF"/>
        <w:spacing w:beforeAutospacing="0" w:afterAutospacing="0"/>
        <w:ind w:firstLine="640" w:firstLineChars="200"/>
        <w:jc w:val="both"/>
        <w:rPr>
          <w:rFonts w:hint="default" w:ascii="Times New Roman" w:hAnsi="Times New Roman" w:eastAsia="黑体" w:cs="Times New Roman"/>
          <w:color w:val="000000"/>
          <w:sz w:val="32"/>
          <w:szCs w:val="19"/>
          <w:shd w:val="clear" w:color="auto" w:fill="FFFFFF"/>
          <w:lang w:bidi="ar-SA"/>
        </w:rPr>
      </w:pPr>
      <w:r>
        <w:rPr>
          <w:rFonts w:hint="default" w:ascii="Times New Roman" w:hAnsi="Times New Roman" w:eastAsia="黑体" w:cs="Times New Roman"/>
          <w:color w:val="000000"/>
          <w:sz w:val="32"/>
          <w:szCs w:val="19"/>
          <w:shd w:val="clear" w:color="auto" w:fill="FFFFFF"/>
          <w:lang w:bidi="ar-SA"/>
        </w:rPr>
        <w:t>收到和处理政府信息公开申请情况</w:t>
      </w:r>
    </w:p>
    <w:tbl>
      <w:tblPr>
        <w:tblStyle w:val="6"/>
        <w:tblW w:w="4999"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85"/>
        <w:gridCol w:w="954"/>
        <w:gridCol w:w="3007"/>
        <w:gridCol w:w="620"/>
        <w:gridCol w:w="620"/>
        <w:gridCol w:w="620"/>
        <w:gridCol w:w="621"/>
        <w:gridCol w:w="621"/>
        <w:gridCol w:w="632"/>
        <w:gridCol w:w="62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547" w:type="pct"/>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（本列数据的勾稽关系为：第一项加第二项之和，等于第三项加第四项之和）</w:t>
            </w:r>
          </w:p>
        </w:tc>
        <w:tc>
          <w:tcPr>
            <w:tcW w:w="2452" w:type="pct"/>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547" w:type="pct"/>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hint="default" w:ascii="Times New Roman" w:hAnsi="Times New Roman" w:cs="Times New Roman"/>
              </w:rPr>
            </w:pPr>
          </w:p>
        </w:tc>
        <w:tc>
          <w:tcPr>
            <w:tcW w:w="349" w:type="pct"/>
            <w:vMerge w:val="restart"/>
            <w:tcBorders>
              <w:top w:val="nil"/>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自然人</w:t>
            </w:r>
          </w:p>
        </w:tc>
        <w:tc>
          <w:tcPr>
            <w:tcW w:w="1751" w:type="pct"/>
            <w:gridSpan w:val="5"/>
            <w:tcBorders>
              <w:top w:val="nil"/>
              <w:left w:val="nil"/>
              <w:bottom w:val="single" w:color="auto" w:sz="8"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法人或其他组织</w:t>
            </w:r>
          </w:p>
        </w:tc>
        <w:tc>
          <w:tcPr>
            <w:tcW w:w="350" w:type="pct"/>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547" w:type="pct"/>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hint="default" w:ascii="Times New Roman" w:hAnsi="Times New Roman" w:cs="Times New Roman"/>
              </w:rPr>
            </w:pPr>
          </w:p>
        </w:tc>
        <w:tc>
          <w:tcPr>
            <w:tcW w:w="349" w:type="pct"/>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49" w:type="pct"/>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商业</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企业</w:t>
            </w:r>
          </w:p>
        </w:tc>
        <w:tc>
          <w:tcPr>
            <w:tcW w:w="349" w:type="pct"/>
            <w:tcBorders>
              <w:top w:val="nil"/>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科研</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机构</w:t>
            </w:r>
          </w:p>
        </w:tc>
        <w:tc>
          <w:tcPr>
            <w:tcW w:w="349" w:type="pct"/>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社会公益组织</w:t>
            </w:r>
          </w:p>
        </w:tc>
        <w:tc>
          <w:tcPr>
            <w:tcW w:w="349" w:type="pct"/>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法律服务机构</w:t>
            </w:r>
          </w:p>
        </w:tc>
        <w:tc>
          <w:tcPr>
            <w:tcW w:w="352" w:type="pct"/>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其他</w:t>
            </w:r>
          </w:p>
        </w:tc>
        <w:tc>
          <w:tcPr>
            <w:tcW w:w="350" w:type="pct"/>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547" w:type="pct"/>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一、本年新收政府信息公开申请数量</w:t>
            </w:r>
          </w:p>
        </w:tc>
        <w:tc>
          <w:tcPr>
            <w:tcW w:w="349" w:type="pct"/>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18</w:t>
            </w:r>
          </w:p>
        </w:tc>
        <w:tc>
          <w:tcPr>
            <w:tcW w:w="349" w:type="pct"/>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547" w:type="pct"/>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二、上年结转政府信息公开申请数量</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三、本年度办理结果</w:t>
            </w:r>
          </w:p>
        </w:tc>
        <w:tc>
          <w:tcPr>
            <w:tcW w:w="2162" w:type="pct"/>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（一）予以公开</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4</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c>
          <w:tcPr>
            <w:tcW w:w="350" w:type="pct"/>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2162" w:type="pct"/>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（二）部分公开（区分处理的，只计这一情形，不计其他情形）</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（三）不予公开</w:t>
            </w: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1.属于国家秘密</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2.其他法律行政法规禁止公开</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3.危及“三安全一稳定”</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4.保护第三方合法权益</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5.属于三类内部事务信息</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6.属于四类过程性信息</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7.属于行政执法案卷</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8.属于行政查询事项</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（四）无法提供</w:t>
            </w: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1.本机关不掌握相关政府信息</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13</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2.没有现成信息需要另行制作</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3.补正后申请内容仍不明确</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（五）不予处理</w:t>
            </w: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1.信访举报投诉类申请</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2.重复申请</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3.要求提供公开出版物</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4.无正当理由大量反复申请</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5.要求行政机关确认或重新出具已获取信息</w:t>
            </w:r>
          </w:p>
        </w:tc>
        <w:tc>
          <w:tcPr>
            <w:tcW w:w="620"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（六）其他处理</w:t>
            </w:r>
          </w:p>
        </w:tc>
        <w:tc>
          <w:tcPr>
            <w:tcW w:w="1673"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1.申请人无正当理由逾期不补正、行政机关不再处理其政府信息公开申请</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2.申请人逾期未按收费通知要求缴纳费用、行政机关不再处理其政府信息公开申请</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0"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3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c>
          <w:tcPr>
            <w:tcW w:w="62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88" w:type="pct"/>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1673"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3.其他</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85" w:type="pct"/>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2162" w:type="pct"/>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（七）总计</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18</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547" w:type="pct"/>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四、结转下年度继续办理</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49"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2"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350" w:type="pct"/>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szCs w:val="24"/>
                <w:lang w:val="en-US" w:eastAsia="zh-CN" w:bidi="ar-SA"/>
              </w:rPr>
            </w:pPr>
            <w:r>
              <w:rPr>
                <w:rFonts w:hint="default" w:ascii="Times New Roman" w:hAnsi="Times New Roman" w:cs="Times New Roman"/>
                <w:color w:val="000000"/>
                <w:sz w:val="28"/>
                <w:szCs w:val="24"/>
                <w:lang w:val="en-US" w:eastAsia="zh-CN" w:bidi="ar-SA"/>
              </w:rPr>
              <w:t>1</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四、政府信息公开行政复议、行政诉讼情况</w:t>
      </w:r>
    </w:p>
    <w:tbl>
      <w:tblPr>
        <w:tblStyle w:val="6"/>
        <w:tblW w:w="4999"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02"/>
        <w:gridCol w:w="602"/>
        <w:gridCol w:w="602"/>
        <w:gridCol w:w="602"/>
        <w:gridCol w:w="609"/>
        <w:gridCol w:w="602"/>
        <w:gridCol w:w="602"/>
        <w:gridCol w:w="603"/>
        <w:gridCol w:w="603"/>
        <w:gridCol w:w="609"/>
        <w:gridCol w:w="603"/>
        <w:gridCol w:w="603"/>
        <w:gridCol w:w="603"/>
        <w:gridCol w:w="603"/>
        <w:gridCol w:w="61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664" w:type="pct"/>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行政复议</w:t>
            </w:r>
          </w:p>
        </w:tc>
        <w:tc>
          <w:tcPr>
            <w:tcW w:w="3335" w:type="pct"/>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32" w:type="pct"/>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结果维持</w:t>
            </w:r>
          </w:p>
        </w:tc>
        <w:tc>
          <w:tcPr>
            <w:tcW w:w="332" w:type="pct"/>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332" w:type="pct"/>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332" w:type="pct"/>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333" w:type="pct"/>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1666" w:type="pct"/>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未经复议直接起诉</w:t>
            </w:r>
          </w:p>
        </w:tc>
        <w:tc>
          <w:tcPr>
            <w:tcW w:w="1669" w:type="pct"/>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32"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332" w:type="pct"/>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332" w:type="pct"/>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332" w:type="pct"/>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333" w:type="pct"/>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33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33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33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33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33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33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33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333" w:type="pc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2"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333" w:type="pct"/>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ascii="Times New Roman" w:hAnsi="Times New Roman" w:eastAsia="宋体" w:cs="Times New Roman"/>
                <w:color w:val="000000"/>
                <w:sz w:val="24"/>
                <w:szCs w:val="24"/>
                <w:lang w:val="en-US" w:eastAsia="zh-CN" w:bidi="ar-SA"/>
              </w:rPr>
            </w:pPr>
            <w:r>
              <w:rPr>
                <w:rFonts w:hint="default" w:ascii="Times New Roman" w:hAnsi="Times New Roman" w:cs="Times New Roman"/>
                <w:color w:val="000000"/>
                <w:sz w:val="24"/>
                <w:szCs w:val="24"/>
                <w:lang w:val="en-US" w:eastAsia="zh-CN" w:bidi="ar-SA"/>
              </w:rPr>
              <w:t>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highlight w:val="none"/>
          <w:shd w:val="clear" w:color="auto" w:fill="FFFFFF"/>
          <w:lang w:bidi="ar-SA"/>
        </w:rPr>
      </w:pPr>
      <w:r>
        <w:rPr>
          <w:rFonts w:hint="default" w:ascii="Times New Roman" w:hAnsi="Times New Roman" w:eastAsia="仿宋_GB2312" w:cs="Times New Roman"/>
          <w:color w:val="000000"/>
          <w:sz w:val="32"/>
          <w:szCs w:val="19"/>
          <w:highlight w:val="none"/>
          <w:shd w:val="clear" w:color="auto" w:fill="FFFFFF"/>
          <w:lang w:bidi="ar-SA"/>
        </w:rPr>
        <w:t>202</w:t>
      </w:r>
      <w:r>
        <w:rPr>
          <w:rFonts w:hint="default" w:ascii="Times New Roman" w:hAnsi="Times New Roman" w:eastAsia="仿宋_GB2312" w:cs="Times New Roman"/>
          <w:color w:val="000000"/>
          <w:sz w:val="32"/>
          <w:szCs w:val="19"/>
          <w:highlight w:val="none"/>
          <w:shd w:val="clear" w:color="auto" w:fill="FFFFFF"/>
          <w:lang w:val="en-US" w:eastAsia="zh-CN" w:bidi="ar-SA"/>
        </w:rPr>
        <w:t>2</w:t>
      </w:r>
      <w:r>
        <w:rPr>
          <w:rFonts w:hint="default" w:ascii="Times New Roman" w:hAnsi="Times New Roman" w:eastAsia="仿宋_GB2312" w:cs="Times New Roman"/>
          <w:color w:val="000000"/>
          <w:sz w:val="32"/>
          <w:szCs w:val="19"/>
          <w:highlight w:val="none"/>
          <w:shd w:val="clear" w:color="auto" w:fill="FFFFFF"/>
          <w:lang w:bidi="ar-SA"/>
        </w:rPr>
        <w:t>年我局扎实、有序推</w:t>
      </w:r>
      <w:r>
        <w:rPr>
          <w:rFonts w:hint="eastAsia" w:ascii="Times New Roman" w:hAnsi="Times New Roman" w:eastAsia="仿宋_GB2312" w:cs="Times New Roman"/>
          <w:color w:val="000000"/>
          <w:sz w:val="32"/>
          <w:szCs w:val="19"/>
          <w:highlight w:val="none"/>
          <w:shd w:val="clear" w:color="auto" w:fill="FFFFFF"/>
          <w:lang w:eastAsia="zh-CN" w:bidi="ar-SA"/>
        </w:rPr>
        <w:t>进</w:t>
      </w:r>
      <w:r>
        <w:rPr>
          <w:rFonts w:hint="default" w:ascii="Times New Roman" w:hAnsi="Times New Roman" w:eastAsia="仿宋_GB2312" w:cs="Times New Roman"/>
          <w:color w:val="000000"/>
          <w:sz w:val="32"/>
          <w:szCs w:val="19"/>
          <w:highlight w:val="none"/>
          <w:shd w:val="clear" w:color="auto" w:fill="FFFFFF"/>
          <w:lang w:bidi="ar-SA"/>
        </w:rPr>
        <w:t>政务公开工作，取得了一定成效，但仍存在主动公开意识有待加强</w:t>
      </w:r>
      <w:r>
        <w:rPr>
          <w:rFonts w:hint="default" w:ascii="Times New Roman" w:hAnsi="Times New Roman" w:eastAsia="仿宋_GB2312" w:cs="Times New Roman"/>
          <w:color w:val="000000"/>
          <w:sz w:val="32"/>
          <w:szCs w:val="19"/>
          <w:highlight w:val="none"/>
          <w:shd w:val="clear" w:color="auto" w:fill="FFFFFF"/>
          <w:lang w:eastAsia="zh-CN" w:bidi="ar-SA"/>
        </w:rPr>
        <w:t>、公开形式有待丰富、政策解读形式较为常规</w:t>
      </w:r>
      <w:r>
        <w:rPr>
          <w:rFonts w:hint="eastAsia" w:ascii="Times New Roman" w:hAnsi="Times New Roman" w:eastAsia="仿宋_GB2312" w:cs="Times New Roman"/>
          <w:color w:val="000000"/>
          <w:sz w:val="32"/>
          <w:szCs w:val="19"/>
          <w:highlight w:val="none"/>
          <w:shd w:val="clear" w:color="auto" w:fill="FFFFFF"/>
          <w:lang w:eastAsia="zh-CN" w:bidi="ar-SA"/>
        </w:rPr>
        <w:t>等</w:t>
      </w:r>
      <w:r>
        <w:rPr>
          <w:rFonts w:hint="default" w:ascii="Times New Roman" w:hAnsi="Times New Roman" w:eastAsia="仿宋_GB2312" w:cs="Times New Roman"/>
          <w:color w:val="000000"/>
          <w:sz w:val="32"/>
          <w:szCs w:val="19"/>
          <w:highlight w:val="none"/>
          <w:shd w:val="clear" w:color="auto" w:fill="FFFFFF"/>
          <w:lang w:bidi="ar-SA"/>
        </w:rPr>
        <w:t>问题。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highlight w:val="none"/>
          <w:lang w:bidi="ar-SA"/>
        </w:rPr>
      </w:pPr>
      <w:r>
        <w:rPr>
          <w:rFonts w:hint="default" w:ascii="Times New Roman" w:hAnsi="Times New Roman" w:eastAsia="仿宋_GB2312" w:cs="Times New Roman"/>
          <w:color w:val="000000"/>
          <w:sz w:val="32"/>
          <w:szCs w:val="19"/>
          <w:highlight w:val="none"/>
          <w:shd w:val="clear" w:color="auto" w:fill="FFFFFF"/>
          <w:lang w:bidi="ar-SA"/>
        </w:rPr>
        <w:t>针对</w:t>
      </w:r>
      <w:r>
        <w:rPr>
          <w:rFonts w:hint="default" w:ascii="Times New Roman" w:hAnsi="Times New Roman" w:eastAsia="仿宋_GB2312" w:cs="Times New Roman"/>
          <w:color w:val="000000"/>
          <w:sz w:val="32"/>
          <w:szCs w:val="19"/>
          <w:highlight w:val="none"/>
          <w:shd w:val="clear" w:color="auto" w:fill="FFFFFF"/>
          <w:lang w:eastAsia="zh-CN" w:bidi="ar-SA"/>
        </w:rPr>
        <w:t>上述</w:t>
      </w:r>
      <w:r>
        <w:rPr>
          <w:rFonts w:hint="default" w:ascii="Times New Roman" w:hAnsi="Times New Roman" w:eastAsia="仿宋_GB2312" w:cs="Times New Roman"/>
          <w:color w:val="000000"/>
          <w:sz w:val="32"/>
          <w:szCs w:val="19"/>
          <w:highlight w:val="none"/>
          <w:shd w:val="clear" w:color="auto" w:fill="FFFFFF"/>
          <w:lang w:bidi="ar-SA"/>
        </w:rPr>
        <w:t>问题，主要采取了以下措施：一是强化部署</w:t>
      </w:r>
      <w:r>
        <w:rPr>
          <w:rFonts w:hint="default" w:ascii="Times New Roman" w:hAnsi="Times New Roman" w:eastAsia="仿宋_GB2312" w:cs="Times New Roman"/>
          <w:color w:val="000000"/>
          <w:sz w:val="32"/>
          <w:szCs w:val="19"/>
          <w:highlight w:val="none"/>
          <w:shd w:val="clear" w:color="auto" w:fill="FFFFFF"/>
          <w:lang w:eastAsia="zh-CN" w:bidi="ar-SA"/>
        </w:rPr>
        <w:t>，细化</w:t>
      </w:r>
      <w:r>
        <w:rPr>
          <w:rFonts w:hint="eastAsia" w:ascii="Times New Roman" w:hAnsi="Times New Roman" w:eastAsia="仿宋_GB2312" w:cs="Times New Roman"/>
          <w:color w:val="000000"/>
          <w:sz w:val="32"/>
          <w:szCs w:val="19"/>
          <w:highlight w:val="none"/>
          <w:shd w:val="clear" w:color="auto" w:fill="FFFFFF"/>
          <w:lang w:eastAsia="zh-CN" w:bidi="ar-SA"/>
        </w:rPr>
        <w:t>分工</w:t>
      </w:r>
      <w:r>
        <w:rPr>
          <w:rFonts w:hint="default" w:ascii="Times New Roman" w:hAnsi="Times New Roman" w:eastAsia="仿宋_GB2312" w:cs="Times New Roman"/>
          <w:color w:val="000000"/>
          <w:sz w:val="32"/>
          <w:szCs w:val="19"/>
          <w:highlight w:val="none"/>
          <w:shd w:val="clear" w:color="auto" w:fill="FFFFFF"/>
          <w:lang w:eastAsia="zh-CN" w:bidi="ar-SA"/>
        </w:rPr>
        <w:t>，印发《关于进一步规范和推进政务公开工作的通知》；</w:t>
      </w:r>
      <w:r>
        <w:rPr>
          <w:rFonts w:hint="default" w:ascii="Times New Roman" w:hAnsi="Times New Roman" w:eastAsia="仿宋_GB2312" w:cs="Times New Roman"/>
          <w:color w:val="000000"/>
          <w:sz w:val="32"/>
          <w:szCs w:val="19"/>
          <w:highlight w:val="none"/>
          <w:shd w:val="clear" w:color="auto" w:fill="FFFFFF"/>
          <w:lang w:bidi="ar-SA"/>
        </w:rPr>
        <w:t>二是拓宽公开渠道，加大学习强国、</w:t>
      </w:r>
      <w:r>
        <w:rPr>
          <w:rFonts w:hint="default" w:ascii="Times New Roman" w:hAnsi="Times New Roman" w:eastAsia="仿宋_GB2312" w:cs="Times New Roman"/>
          <w:color w:val="000000"/>
          <w:sz w:val="32"/>
          <w:szCs w:val="19"/>
          <w:highlight w:val="none"/>
          <w:shd w:val="clear" w:color="auto" w:fill="FFFFFF"/>
          <w:lang w:eastAsia="zh-CN" w:bidi="ar-SA"/>
        </w:rPr>
        <w:t>黄埔信息网、“到黄埔去”客户端</w:t>
      </w:r>
      <w:r>
        <w:rPr>
          <w:rFonts w:hint="default" w:ascii="Times New Roman" w:hAnsi="Times New Roman" w:eastAsia="仿宋_GB2312" w:cs="Times New Roman"/>
          <w:color w:val="000000"/>
          <w:sz w:val="32"/>
          <w:szCs w:val="19"/>
          <w:highlight w:val="none"/>
          <w:shd w:val="clear" w:color="auto" w:fill="FFFFFF"/>
          <w:lang w:bidi="ar-SA"/>
        </w:rPr>
        <w:t>等多媒体平台政府信息发布力度</w:t>
      </w:r>
      <w:r>
        <w:rPr>
          <w:rFonts w:hint="eastAsia" w:ascii="Times New Roman" w:hAnsi="Times New Roman" w:eastAsia="仿宋_GB2312" w:cs="Times New Roman"/>
          <w:color w:val="000000"/>
          <w:sz w:val="32"/>
          <w:szCs w:val="19"/>
          <w:highlight w:val="none"/>
          <w:shd w:val="clear" w:color="auto" w:fill="FFFFFF"/>
          <w:lang w:eastAsia="zh-CN" w:bidi="ar-SA"/>
        </w:rPr>
        <w:t>；三是多形式多平台开展政策解读，认真策划部署，制定解读宣传方案，通过视频、图文、音频等多形式，在各类多媒体平台开展政策解读</w:t>
      </w:r>
      <w:r>
        <w:rPr>
          <w:rFonts w:hint="default" w:ascii="Times New Roman" w:hAnsi="Times New Roman" w:eastAsia="仿宋_GB2312" w:cs="Times New Roman"/>
          <w:color w:val="000000"/>
          <w:sz w:val="32"/>
          <w:szCs w:val="19"/>
          <w:highlight w:val="none"/>
          <w:shd w:val="clear" w:color="auto" w:fill="FFFFFF"/>
          <w:lang w:bidi="ar-SA"/>
        </w:rPr>
        <w:t>。</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19"/>
          <w:shd w:val="clear" w:color="auto" w:fill="FFFFFF"/>
          <w:lang w:bidi="ar-SA"/>
        </w:rPr>
      </w:pPr>
      <w:r>
        <w:rPr>
          <w:rFonts w:hint="default" w:ascii="Times New Roman" w:hAnsi="Times New Roman" w:eastAsia="黑体" w:cs="Times New Roman"/>
          <w:color w:val="000000"/>
          <w:sz w:val="32"/>
          <w:szCs w:val="19"/>
          <w:shd w:val="clear" w:color="auto" w:fill="FFFFFF"/>
          <w:lang w:bidi="ar-SA"/>
        </w:rPr>
        <w:t>其他需要报告的事项</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val="en-US" w:eastAsia="zh-CN" w:bidi="ar-SA"/>
        </w:rPr>
        <w:t>2022</w:t>
      </w:r>
      <w:r>
        <w:rPr>
          <w:rFonts w:hint="default" w:ascii="Times New Roman" w:hAnsi="Times New Roman" w:eastAsia="仿宋_GB2312" w:cs="Times New Roman"/>
          <w:color w:val="000000"/>
          <w:sz w:val="32"/>
          <w:szCs w:val="19"/>
          <w:shd w:val="clear" w:color="auto" w:fill="FFFFFF"/>
          <w:lang w:eastAsia="zh-CN" w:bidi="ar-SA"/>
        </w:rPr>
        <w:t>年</w:t>
      </w:r>
      <w:r>
        <w:rPr>
          <w:rFonts w:hint="eastAsia" w:ascii="Times New Roman" w:hAnsi="Times New Roman" w:eastAsia="仿宋_GB2312" w:cs="Times New Roman"/>
          <w:color w:val="000000"/>
          <w:sz w:val="32"/>
          <w:szCs w:val="19"/>
          <w:shd w:val="clear" w:color="auto" w:fill="FFFFFF"/>
          <w:lang w:eastAsia="zh-CN" w:bidi="ar-SA"/>
        </w:rPr>
        <w:t>我局</w:t>
      </w:r>
      <w:r>
        <w:rPr>
          <w:rFonts w:hint="default" w:ascii="Times New Roman" w:hAnsi="Times New Roman" w:eastAsia="仿宋_GB2312" w:cs="Times New Roman"/>
          <w:color w:val="000000"/>
          <w:sz w:val="32"/>
          <w:szCs w:val="19"/>
          <w:shd w:val="clear" w:color="auto" w:fill="FFFFFF"/>
          <w:lang w:eastAsia="zh-CN" w:bidi="ar-SA"/>
        </w:rPr>
        <w:t>未</w:t>
      </w:r>
      <w:r>
        <w:rPr>
          <w:rFonts w:hint="default" w:ascii="Times New Roman" w:hAnsi="Times New Roman" w:eastAsia="仿宋_GB2312" w:cs="Times New Roman"/>
          <w:color w:val="000000"/>
          <w:sz w:val="32"/>
          <w:szCs w:val="19"/>
          <w:shd w:val="clear" w:color="auto" w:fill="FFFFFF"/>
          <w:lang w:bidi="ar-SA"/>
        </w:rPr>
        <w:t>收取信息处理费。</w:t>
      </w:r>
    </w:p>
    <w:p/>
    <w:sectPr>
      <w:footerReference r:id="rId3" w:type="default"/>
      <w:pgSz w:w="11906" w:h="16838"/>
      <w:pgMar w:top="2041"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3C793"/>
    <w:multiLevelType w:val="singleLevel"/>
    <w:tmpl w:val="D433C793"/>
    <w:lvl w:ilvl="0" w:tentative="0">
      <w:start w:val="3"/>
      <w:numFmt w:val="chineseCounting"/>
      <w:suff w:val="nothing"/>
      <w:lvlText w:val="%1、"/>
      <w:lvlJc w:val="left"/>
      <w:rPr>
        <w:rFonts w:hint="eastAsia"/>
      </w:rPr>
    </w:lvl>
  </w:abstractNum>
  <w:abstractNum w:abstractNumId="1">
    <w:nsid w:val="F4DA6717"/>
    <w:multiLevelType w:val="singleLevel"/>
    <w:tmpl w:val="F4DA671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8261F"/>
    <w:rsid w:val="0C0457B6"/>
    <w:rsid w:val="25916232"/>
    <w:rsid w:val="46E15D61"/>
    <w:rsid w:val="590C0508"/>
    <w:rsid w:val="6E0A6803"/>
    <w:rsid w:val="70D8261F"/>
    <w:rsid w:val="7E682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2"/>
    <w:basedOn w:val="1"/>
    <w:next w:val="1"/>
    <w:qFormat/>
    <w:uiPriority w:val="0"/>
    <w:pPr>
      <w:ind w:left="420" w:leftChars="200"/>
    </w:pPr>
  </w:style>
  <w:style w:type="paragraph" w:styleId="5">
    <w:name w:val="Normal (Web)"/>
    <w:basedOn w:val="1"/>
    <w:qFormat/>
    <w:uiPriority w:val="0"/>
    <w:pPr>
      <w:spacing w:beforeAutospacing="1" w:afterAutospacing="1"/>
      <w:jc w:val="left"/>
    </w:pPr>
    <w:rPr>
      <w:rFonts w:cs="Times New Roman"/>
      <w:kern w:val="0"/>
      <w:sz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2022年主动公开情况</c:v>
                </c:pt>
              </c:strCache>
            </c:strRef>
          </c:tx>
          <c:spPr>
            <a:sp3d contourW="25400"/>
          </c:spPr>
          <c:explosion val="0"/>
          <c:dPt>
            <c:idx val="0"/>
            <c:bubble3D val="0"/>
            <c:spPr>
              <a:solidFill>
                <a:schemeClr val="accent1"/>
              </a:solidFill>
              <a:ln w="19050">
                <a:solidFill>
                  <a:schemeClr val="lt1"/>
                </a:solidFill>
              </a:ln>
              <a:effectLst/>
              <a:sp3d contourW="25400"/>
            </c:spPr>
          </c:dPt>
          <c:dPt>
            <c:idx val="1"/>
            <c:bubble3D val="0"/>
            <c:spPr>
              <a:solidFill>
                <a:schemeClr val="accent2"/>
              </a:solidFill>
              <a:ln w="19050">
                <a:solidFill>
                  <a:schemeClr val="lt1"/>
                </a:solidFill>
              </a:ln>
              <a:effectLst/>
              <a:sp3d contourW="25400"/>
            </c:spPr>
          </c:dPt>
          <c:dPt>
            <c:idx val="2"/>
            <c:bubble3D val="0"/>
            <c:spPr>
              <a:solidFill>
                <a:schemeClr val="accent3"/>
              </a:solidFill>
              <a:ln w="19050">
                <a:solidFill>
                  <a:schemeClr val="lt1"/>
                </a:solidFill>
              </a:ln>
              <a:effectLst/>
              <a:sp3d contourW="25400"/>
            </c:spPr>
          </c:dPt>
          <c:dPt>
            <c:idx val="3"/>
            <c:bubble3D val="0"/>
            <c:spPr>
              <a:solidFill>
                <a:schemeClr val="accent4"/>
              </a:solidFill>
              <a:ln w="19050">
                <a:solidFill>
                  <a:schemeClr val="lt1"/>
                </a:solidFill>
              </a:ln>
              <a:effectLst/>
              <a:sp3d contourW="25400"/>
            </c:spPr>
          </c:dPt>
          <c:dPt>
            <c:idx val="4"/>
            <c:bubble3D val="0"/>
            <c:spPr>
              <a:solidFill>
                <a:schemeClr val="accent5"/>
              </a:solidFill>
              <a:ln w="19050">
                <a:solidFill>
                  <a:schemeClr val="lt1"/>
                </a:solidFill>
              </a:ln>
              <a:effectLst/>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组织机构</c:v>
                </c:pt>
                <c:pt idx="1">
                  <c:v>部门文件</c:v>
                </c:pt>
                <c:pt idx="2">
                  <c:v>行政执法</c:v>
                </c:pt>
                <c:pt idx="3">
                  <c:v>工作动态</c:v>
                </c:pt>
                <c:pt idx="4">
                  <c:v>财政预决算</c:v>
                </c:pt>
              </c:strCache>
            </c:strRef>
          </c:cat>
          <c:val>
            <c:numRef>
              <c:f>Sheet1!$B$2:$B$6</c:f>
              <c:numCache>
                <c:formatCode>General</c:formatCode>
                <c:ptCount val="5"/>
                <c:pt idx="0">
                  <c:v>5</c:v>
                </c:pt>
                <c:pt idx="1">
                  <c:v>90</c:v>
                </c:pt>
                <c:pt idx="2">
                  <c:v>1</c:v>
                </c:pt>
                <c:pt idx="3">
                  <c:v>55</c:v>
                </c:pt>
                <c:pt idx="4">
                  <c:v>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2023-02-10T09:12:00Z</dcterms:created>
  <dc:creator>藕</dc:creator>
  <cp:lastModifiedBy>藕</cp:lastModifiedBy>
  <dcterms:modified xsi:type="dcterms:W3CDTF">2023-02-10T09:14:17Z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1CD34C3899DE4B599F830B0F976A1811</vt:lpwstr>
  </property>
</Properties>
</file>