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100" w:firstLineChars="250"/>
        <w:jc w:val="center"/>
        <w:textAlignment w:val="auto"/>
        <w:rPr>
          <w:rStyle w:val="10"/>
          <w:rFonts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黄埔区国家档案馆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2023年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档案综合管理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地方志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61" w:afterLines="50" w:line="560" w:lineRule="exact"/>
        <w:ind w:firstLine="1100" w:firstLineChars="250"/>
        <w:jc w:val="center"/>
        <w:textAlignment w:val="auto"/>
        <w:rPr>
          <w:rStyle w:val="10"/>
          <w:rFonts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编纂辅助服务项目评分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>细则</w:t>
      </w:r>
    </w:p>
    <w:tbl>
      <w:tblPr>
        <w:tblStyle w:val="8"/>
        <w:tblW w:w="1424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1848"/>
        <w:gridCol w:w="2552"/>
        <w:gridCol w:w="7710"/>
        <w:gridCol w:w="12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Header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评分内容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分值(分)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Style w:val="10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商务部分</w:t>
            </w: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企业资质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both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具有人力资源服务许可证得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分，否则得0分。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政府项目业绩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both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投标人202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年以来参与过政府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履职辅助性服务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项目，每参与一个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得5分，最高得15分，没有不得分。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jc w:val="center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Style w:val="10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技术部分</w:t>
            </w:r>
          </w:p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Style w:val="10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（6</w:t>
            </w: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总体思路和实施方案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both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思路和方案完整、详细、表述清晰、科学合理、切实可行，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11-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15分；思路和方案比较完整、详细、表述比较清晰、合理、可行，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10分；思路和方案基本完整、表述基本清晰、基本合理可行，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5分；其他或无响应，得0分。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Style w:val="10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项目整体响应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both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对需求响应程度高、工作组织时间安排完善、合理可行，得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11-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20分；响应程度一般，工作组织时间安排比较合理，得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10分；其他或无响应得0分。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Style w:val="10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质量保证及履约保证措施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both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质量保证及措施完善、合理、可行，得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11-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15分；质量保证及措施比较完善、合理、可行，得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10分；其他或无响应得0分。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Style w:val="10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服务支撑能力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="0" w:afterAutospacing="0" w:line="3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项目组中具有硕士研究生及以上学历的人员担任项目主管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（或有主管经验）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的，每人得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分，最高得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pStyle w:val="7"/>
              <w:widowControl/>
              <w:wordWrap w:val="0"/>
              <w:adjustRightInd w:val="0"/>
              <w:snapToGrid w:val="0"/>
              <w:spacing w:before="0" w:beforeAutospacing="0" w:after="0" w:afterAutospacing="0" w:line="3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满足以下条件之一的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每人得1分，最高得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具有本科以上学历或具有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档案相关专业学历或具有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档案专业人员岗位培训证书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或1年以上档案、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地方志工作经验人员；</w:t>
            </w:r>
          </w:p>
          <w:p>
            <w:pPr>
              <w:pStyle w:val="7"/>
              <w:widowControl/>
              <w:wordWrap w:val="0"/>
              <w:adjustRightInd w:val="0"/>
              <w:snapToGrid w:val="0"/>
              <w:spacing w:before="0" w:beforeAutospacing="0" w:afterAutospacing="0" w:line="380" w:lineRule="exact"/>
              <w:jc w:val="both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本项最高得1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分。（需提供学历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证书、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社保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证明、项目书等证明材料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Style w:val="10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价格部分</w:t>
            </w:r>
          </w:p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Style w:val="10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价格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项目最高限价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4.242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万元，以最低报价为评标基准价；以每家报价为询价报价。报价得分=（评标基准价／询价报价）×15，如此类推，算出所有投标人的价格得分。最高15分。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adjustRightInd w:val="0"/>
              <w:snapToGrid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>
      <w:pPr>
        <w:pageBreakBefore w:val="0"/>
        <w:tabs>
          <w:tab w:val="left" w:pos="425"/>
          <w:tab w:val="left" w:pos="1008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BBBFD2C-5D83-4851-81E1-2CF86C74054D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797D616-21B4-4B64-9252-3649FECEE95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5DFEC8E-5F63-4999-B48C-2AD0A975DEFA}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  <w:embedRegular r:id="rId4" w:fontKey="{ACBF0361-B1E2-448D-AA52-CCF089E434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DU2YWM0MGQ4OWVhNzJiMTM3MzM2MWM4ZGI1ZjEifQ=="/>
  </w:docVars>
  <w:rsids>
    <w:rsidRoot w:val="00392713"/>
    <w:rsid w:val="001263E8"/>
    <w:rsid w:val="00391F23"/>
    <w:rsid w:val="00392713"/>
    <w:rsid w:val="004D2156"/>
    <w:rsid w:val="00503A5C"/>
    <w:rsid w:val="008558C4"/>
    <w:rsid w:val="00A2257D"/>
    <w:rsid w:val="00FA66D6"/>
    <w:rsid w:val="059D145D"/>
    <w:rsid w:val="0B6B5562"/>
    <w:rsid w:val="0BF826D2"/>
    <w:rsid w:val="11F00B6A"/>
    <w:rsid w:val="12354C4D"/>
    <w:rsid w:val="159C3DB5"/>
    <w:rsid w:val="16A265D5"/>
    <w:rsid w:val="16D076DE"/>
    <w:rsid w:val="189246D4"/>
    <w:rsid w:val="1A3416B5"/>
    <w:rsid w:val="1C4306F9"/>
    <w:rsid w:val="1E25455A"/>
    <w:rsid w:val="21090F18"/>
    <w:rsid w:val="2851210C"/>
    <w:rsid w:val="2A1F09F7"/>
    <w:rsid w:val="2CE6042C"/>
    <w:rsid w:val="2D5D2276"/>
    <w:rsid w:val="2E16378B"/>
    <w:rsid w:val="30977ABB"/>
    <w:rsid w:val="314B154E"/>
    <w:rsid w:val="34C83387"/>
    <w:rsid w:val="42546AC6"/>
    <w:rsid w:val="47B839DD"/>
    <w:rsid w:val="4D6E7D40"/>
    <w:rsid w:val="4E0073BC"/>
    <w:rsid w:val="52F608C1"/>
    <w:rsid w:val="53927075"/>
    <w:rsid w:val="5838702A"/>
    <w:rsid w:val="59A50821"/>
    <w:rsid w:val="5A3D60F3"/>
    <w:rsid w:val="5CDD1961"/>
    <w:rsid w:val="634A5DA6"/>
    <w:rsid w:val="63F85939"/>
    <w:rsid w:val="671171A1"/>
    <w:rsid w:val="6804163B"/>
    <w:rsid w:val="68681921"/>
    <w:rsid w:val="6B8359E0"/>
    <w:rsid w:val="6D5813ED"/>
    <w:rsid w:val="6EC36AB9"/>
    <w:rsid w:val="7191019D"/>
    <w:rsid w:val="72777A90"/>
    <w:rsid w:val="7299072E"/>
    <w:rsid w:val="72A46246"/>
    <w:rsid w:val="73A316DB"/>
    <w:rsid w:val="77A750B1"/>
    <w:rsid w:val="78CE0217"/>
    <w:rsid w:val="7B9B3B0C"/>
    <w:rsid w:val="7C0F3902"/>
    <w:rsid w:val="7C58578D"/>
    <w:rsid w:val="7F20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360" w:after="260" w:line="360" w:lineRule="auto"/>
      <w:jc w:val="center"/>
      <w:textAlignment w:val="baseline"/>
      <w:outlineLvl w:val="1"/>
    </w:pPr>
    <w:rPr>
      <w:rFonts w:ascii="Arial" w:hAnsi="Arial" w:eastAsia="黑体" w:cs="Arial"/>
      <w:b/>
      <w:bCs/>
      <w:spacing w:val="24"/>
      <w:sz w:val="24"/>
    </w:rPr>
  </w:style>
  <w:style w:type="paragraph" w:styleId="3">
    <w:name w:val="heading 3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360" w:after="260" w:line="360" w:lineRule="auto"/>
      <w:textAlignment w:val="baseline"/>
      <w:outlineLvl w:val="2"/>
    </w:pPr>
    <w:rPr>
      <w:rFonts w:ascii="宋体" w:hAnsi="Arial" w:cs="宋体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样式 正文缩进正文（首行缩进两字）表正文正文非缩进±íÕýÎÄÕýÎÄ·ÇËõ½ø标题4特点body text...1"/>
    <w:basedOn w:val="4"/>
    <w:qFormat/>
    <w:uiPriority w:val="0"/>
    <w:pPr>
      <w:autoSpaceDE/>
      <w:autoSpaceDN/>
      <w:ind w:left="0" w:firstLine="480" w:firstLineChars="200"/>
    </w:pPr>
    <w:rPr>
      <w:rFonts w:eastAsia="华文细黑" w:cs="宋体"/>
      <w:szCs w:val="20"/>
    </w:rPr>
  </w:style>
  <w:style w:type="paragraph" w:customStyle="1" w:styleId="14">
    <w:name w:val="Body text|1"/>
    <w:basedOn w:val="1"/>
    <w:qFormat/>
    <w:uiPriority w:val="0"/>
    <w:pPr>
      <w:spacing w:after="180" w:line="290" w:lineRule="auto"/>
      <w:ind w:firstLine="80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15">
    <w:name w:val="表格文字"/>
    <w:basedOn w:val="1"/>
    <w:qFormat/>
    <w:uiPriority w:val="0"/>
    <w:pPr>
      <w:spacing w:before="25" w:beforeLines="0" w:after="25" w:afterLines="0" w:line="240" w:lineRule="auto"/>
      <w:ind w:firstLine="0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zh-CN" w:eastAsia="zh-CN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4506</Words>
  <Characters>4655</Characters>
  <Lines>9</Lines>
  <Paragraphs>2</Paragraphs>
  <TotalTime>3</TotalTime>
  <ScaleCrop>false</ScaleCrop>
  <LinksUpToDate>false</LinksUpToDate>
  <CharactersWithSpaces>4674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2020-02-26T06:46:00Z</dcterms:created>
  <dc:creator>user</dc:creator>
  <cp:lastModifiedBy>user</cp:lastModifiedBy>
  <cp:lastPrinted>2023-04-03T03:21:00Z</cp:lastPrinted>
  <dcterms:modified xsi:type="dcterms:W3CDTF">2023-04-03T08:36:13Z</dcterms:modified>
  <dc:title>黄埔区国家档案馆2023年档案综合管理、地方志编纂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F95CBA09C3874F70B99D1BD4E1701410</vt:lpwstr>
  </property>
</Properties>
</file>