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2"/>
          <w:sz w:val="32"/>
          <w:szCs w:val="32"/>
        </w:rPr>
        <w:t>附件:</w:t>
      </w:r>
    </w:p>
    <w:p>
      <w:pPr>
        <w:widowControl/>
        <w:adjustRightInd w:val="0"/>
        <w:spacing w:line="600" w:lineRule="exact"/>
        <w:ind w:left="2204" w:hanging="2204" w:hangingChars="499"/>
        <w:jc w:val="center"/>
        <w:rPr>
          <w:rFonts w:cs="Times New Roman" w:asciiTheme="minorEastAsia" w:hAnsiTheme="minorEastAsia"/>
          <w:b/>
          <w:kern w:val="0"/>
          <w:sz w:val="44"/>
          <w:szCs w:val="44"/>
        </w:rPr>
      </w:pPr>
      <w:bookmarkStart w:id="0" w:name="_GoBack"/>
      <w:r>
        <w:rPr>
          <w:rFonts w:hint="eastAsia" w:cs="Times New Roman" w:asciiTheme="minorEastAsia" w:hAnsiTheme="minorEastAsia"/>
          <w:b/>
          <w:kern w:val="0"/>
          <w:sz w:val="44"/>
          <w:szCs w:val="44"/>
        </w:rPr>
        <w:t>抗击疫情科研攻关突出贡献个人</w:t>
      </w:r>
    </w:p>
    <w:p>
      <w:pPr>
        <w:widowControl/>
        <w:adjustRightInd w:val="0"/>
        <w:spacing w:line="600" w:lineRule="exact"/>
        <w:ind w:left="2204" w:hanging="2204" w:hangingChars="499"/>
        <w:jc w:val="center"/>
        <w:rPr>
          <w:rFonts w:cs="Times New Roman" w:asciiTheme="minorEastAsia" w:hAnsiTheme="minorEastAsia"/>
          <w:b/>
          <w:kern w:val="0"/>
          <w:sz w:val="44"/>
          <w:szCs w:val="44"/>
        </w:rPr>
      </w:pPr>
      <w:r>
        <w:rPr>
          <w:rFonts w:cs="Times New Roman" w:asciiTheme="minorEastAsia" w:hAnsiTheme="minorEastAsia"/>
          <w:b/>
          <w:kern w:val="0"/>
          <w:sz w:val="44"/>
          <w:szCs w:val="44"/>
        </w:rPr>
        <w:t>拟奖励名单</w:t>
      </w:r>
      <w:bookmarkEnd w:id="0"/>
    </w:p>
    <w:p>
      <w:pPr>
        <w:widowControl/>
        <w:adjustRightInd w:val="0"/>
        <w:spacing w:line="600" w:lineRule="exact"/>
        <w:ind w:left="1598" w:leftChars="304" w:hanging="960" w:hangingChars="300"/>
        <w:jc w:val="left"/>
        <w:rPr>
          <w:rFonts w:ascii="Times New Roman" w:hAnsi="仿宋_GB2312" w:eastAsia="仿宋_GB2312" w:cs="Times New Roman"/>
          <w:kern w:val="0"/>
          <w:sz w:val="32"/>
          <w:szCs w:val="32"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32"/>
        </w:rPr>
        <w:t xml:space="preserve">                                      单位：万元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75"/>
        <w:gridCol w:w="567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5670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拟奖励金额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赵宇亮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广东粤港澳大湾区国家纳米科技创新研究院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  锋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广州再生医学与健康广东省实验室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陈捷凯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广州再生医学与健康广东省实验室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张健存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中国科学院广州生物医药与健康研究院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  婷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中国科学院广州生物医药与健康研究院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丛  锋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广东省实验动物监测所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周新科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广州医科大学附属第五医院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蒋析文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中山大学达安基因股份有限公司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黄文林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广州达博生物制品有限公司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吴毅武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广州市恒诺康医药科技有限公司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杨臣臣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广州恩宝生物医药科技有限公司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马  林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广州市锐博生物科技有限公司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孙子洪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广州科方生物技术股份有限公司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邓冠华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广州阳普医疗科技股份有限公司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蒋  军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广东华银医药科技有限公司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  腾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广州微远基因科技有限公司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赖海美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广东和信健康科技有限公司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黄春荣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广州万孚生物技术股份有限公司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林小博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广州市普理司科技有限公司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欧小华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广州金域医学检验集团股份有限公司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21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梁志坤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广州市达瑞生物技术股份有限公司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22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陈春英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广纳信捷(广州）医疗科技有限公司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刘书虎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广州市微米生物科技有限公司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24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郑  焱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广州凯普医药科技有限公司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25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  勇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广州洁特生物过滤股份有限公司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26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梁万前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国机智能科技有限公司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27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刘  彪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广州高新兴机器人有限公司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28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胡振波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广州华大生物科技有限公司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29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陈泽新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创芯国际生物科技（广州）有限公司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  荣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广州安捷生物安全科技股份有限公司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31</w:t>
            </w:r>
          </w:p>
        </w:tc>
        <w:tc>
          <w:tcPr>
            <w:tcW w:w="1275" w:type="dxa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方显锋</w:t>
            </w:r>
          </w:p>
        </w:tc>
        <w:tc>
          <w:tcPr>
            <w:tcW w:w="5670" w:type="dxa"/>
          </w:tcPr>
          <w:p>
            <w:pPr>
              <w:widowControl/>
              <w:spacing w:line="420" w:lineRule="exact"/>
              <w:jc w:val="left"/>
              <w:textAlignment w:val="top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广州昂科免疫生物技术有限公司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20" w:lineRule="exact"/>
              <w:jc w:val="center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</w:tr>
    </w:tbl>
    <w:p>
      <w:pPr>
        <w:rPr>
          <w:rFonts w:ascii="Times New Roman" w:hAnsi="Times New Roman" w:eastAsia="仿宋_GB2312" w:cs="Times New Roman"/>
          <w:spacing w:val="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407533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545F9"/>
    <w:rsid w:val="4FD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Administrator</dc:creator>
  <cp:lastModifiedBy>Administrator</cp:lastModifiedBy>
  <dcterms:modified xsi:type="dcterms:W3CDTF">2020-09-16T09:45:01Z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