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2018-2020广州市科技创新小巨人补贴</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办事指南</w:t>
      </w:r>
    </w:p>
    <w:p>
      <w:pPr>
        <w:spacing w:line="560" w:lineRule="exact"/>
        <w:jc w:val="center"/>
        <w:rPr>
          <w:rFonts w:ascii="宋体" w:hAnsi="宋体" w:eastAsia="宋体" w:cs="宋体"/>
          <w:b/>
          <w:bCs/>
          <w:sz w:val="44"/>
          <w:szCs w:val="44"/>
        </w:rPr>
      </w:pP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一、事项详情</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83"/>
        <w:gridCol w:w="73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70" w:hRule="atLeast"/>
          <w:jc w:val="center"/>
        </w:trPr>
        <w:tc>
          <w:tcPr>
            <w:tcW w:w="2183" w:type="dxa"/>
            <w:tcBorders>
              <w:tl2br w:val="nil"/>
              <w:tr2bl w:val="nil"/>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政策依据</w:t>
            </w:r>
          </w:p>
        </w:tc>
        <w:tc>
          <w:tcPr>
            <w:tcW w:w="7316" w:type="dxa"/>
            <w:tcBorders>
              <w:tl2br w:val="nil"/>
              <w:tr2bl w:val="nil"/>
            </w:tcBorders>
            <w:vAlign w:val="center"/>
          </w:tcPr>
          <w:p>
            <w:pPr>
              <w:ind w:firstLine="640" w:firstLineChars="200"/>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《广州市科技创新委员会关于印发广州市高新技术企业树标提质行动方案（2018—2020年）的通知》（穗科创规字〔2018〕1号）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8" w:hRule="atLeast"/>
          <w:jc w:val="center"/>
        </w:trPr>
        <w:tc>
          <w:tcPr>
            <w:tcW w:w="2183" w:type="dxa"/>
            <w:tcBorders>
              <w:tl2br w:val="nil"/>
              <w:tr2bl w:val="nil"/>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兑现条件</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（一）工商注册地和税务征管关系和统计关系在黄埔区、广州开发区及其受托管理和下辖园区范围内，并在本区实际经营、有健全的财务制度、实行独立核算的企业。</w:t>
            </w:r>
            <w:bookmarkStart w:id="0" w:name="_GoBack"/>
            <w:bookmarkEnd w:id="0"/>
          </w:p>
          <w:p>
            <w:pPr>
              <w:ind w:firstLine="640" w:firstLineChars="200"/>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（二）在穗科创规字〔2018〕1号文生效期间（2018年5月24日-2021年5月24日）</w:t>
            </w:r>
            <w:r>
              <w:rPr>
                <w:rFonts w:hint="eastAsia" w:ascii="仿宋_GB2312" w:hAnsi="仿宋_GB2312" w:eastAsia="仿宋_GB2312" w:cs="仿宋_GB2312"/>
                <w:color w:val="000000" w:themeColor="text1"/>
                <w:sz w:val="32"/>
                <w:szCs w:val="32"/>
                <w14:textFill>
                  <w14:solidFill>
                    <w14:schemeClr w14:val="tx1"/>
                  </w14:solidFill>
                </w14:textFill>
              </w:rPr>
              <w:t>纳入科技创新小巨人企业库的企业，可按规定申请补贴</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p>
          <w:p>
            <w:pPr>
              <w:ind w:firstLine="640" w:firstLineChars="200"/>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（三）企业信用等级应满足政策兑现相关要求。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82" w:hRule="atLeast"/>
          <w:jc w:val="center"/>
        </w:trPr>
        <w:tc>
          <w:tcPr>
            <w:tcW w:w="2183" w:type="dxa"/>
            <w:tcBorders>
              <w:tl2br w:val="nil"/>
              <w:tr2bl w:val="nil"/>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资助标准</w:t>
            </w:r>
          </w:p>
        </w:tc>
        <w:tc>
          <w:tcPr>
            <w:tcW w:w="7316" w:type="dxa"/>
            <w:tcBorders>
              <w:tl2br w:val="nil"/>
              <w:tr2bl w:val="nil"/>
            </w:tcBorders>
            <w:vAlign w:val="center"/>
          </w:tcPr>
          <w:p>
            <w:pPr>
              <w:ind w:firstLine="640" w:firstLineChars="200"/>
              <w:rPr>
                <w:rFonts w:hint="eastAsia" w:eastAsia="仿宋_GB2312" w:cs="仿宋_GB2312"/>
                <w:sz w:val="32"/>
                <w:szCs w:val="32"/>
              </w:rPr>
            </w:pPr>
            <w:r>
              <w:rPr>
                <w:rFonts w:hint="eastAsia" w:ascii="仿宋_GB2312" w:hAnsi="仿宋_GB2312" w:eastAsia="仿宋_GB2312" w:cs="仿宋_GB2312"/>
                <w:sz w:val="32"/>
                <w:lang w:val="en-US" w:eastAsia="zh-CN"/>
              </w:rPr>
              <w:t>（一）</w:t>
            </w:r>
            <w:r>
              <w:rPr>
                <w:rFonts w:hint="eastAsia" w:eastAsia="仿宋_GB2312" w:cs="仿宋_GB2312"/>
                <w:sz w:val="32"/>
                <w:szCs w:val="32"/>
              </w:rPr>
              <w:t>对纳入市科技创新小巨人企业库的企业，</w:t>
            </w:r>
            <w:r>
              <w:rPr>
                <w:rFonts w:hint="eastAsia" w:eastAsia="仿宋_GB2312" w:cs="仿宋_GB2312"/>
                <w:kern w:val="0"/>
                <w:sz w:val="32"/>
                <w:szCs w:val="32"/>
                <w:lang w:val="zh-CN"/>
              </w:rPr>
              <w:t>由市、区两级财政按照</w:t>
            </w:r>
            <w:r>
              <w:rPr>
                <w:rFonts w:hint="eastAsia" w:eastAsia="仿宋_GB2312" w:cs="仿宋_GB2312"/>
                <w:sz w:val="32"/>
                <w:szCs w:val="32"/>
              </w:rPr>
              <w:t>一定的比例（按我市现行财政管理体制分担比例确定），给予每家总额为</w:t>
            </w:r>
            <w:r>
              <w:rPr>
                <w:rFonts w:eastAsia="仿宋_GB2312"/>
                <w:sz w:val="32"/>
                <w:szCs w:val="32"/>
              </w:rPr>
              <w:t>20</w:t>
            </w:r>
            <w:r>
              <w:rPr>
                <w:rFonts w:hint="eastAsia" w:eastAsia="仿宋_GB2312" w:cs="仿宋_GB2312"/>
                <w:sz w:val="32"/>
                <w:szCs w:val="32"/>
              </w:rPr>
              <w:t>万元的经费补贴，专项用于企业开展研发、创新能力提升等活动。</w:t>
            </w:r>
            <w:r>
              <w:rPr>
                <w:rFonts w:hint="eastAsia" w:ascii="仿宋_GB2312" w:hAnsi="仿宋_GB2312" w:eastAsia="仿宋_GB2312" w:cs="仿宋_GB2312"/>
                <w:sz w:val="32"/>
                <w:lang w:val="en-US" w:eastAsia="zh-CN"/>
              </w:rPr>
              <w:t>企业可获得的奖励总额，以市科技部门认定的数据为准。</w:t>
            </w:r>
          </w:p>
          <w:p>
            <w:pPr>
              <w:ind w:firstLine="640" w:firstLineChars="200"/>
              <w:rPr>
                <w:rFonts w:hint="default" w:ascii="仿宋_GB2312" w:hAnsi="仿宋_GB2312" w:eastAsia="仿宋_GB2312"/>
                <w:sz w:val="32"/>
                <w:lang w:val="en-US"/>
              </w:rPr>
            </w:pPr>
            <w:r>
              <w:rPr>
                <w:rFonts w:hint="eastAsia" w:ascii="仿宋_GB2312" w:hAnsi="仿宋_GB2312" w:eastAsia="仿宋_GB2312" w:cs="仿宋_GB2312"/>
                <w:sz w:val="32"/>
                <w:lang w:val="en-US" w:eastAsia="zh-CN"/>
              </w:rPr>
              <w:t>（二）奖励从认定通过次年开始，总额分三年按照1：2：2的比例拨付。已获得高新技术企业认定的企业，不再享受剩余补贴。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83" w:type="dxa"/>
            <w:tcBorders>
              <w:tl2br w:val="nil"/>
              <w:tr2bl w:val="nil"/>
            </w:tcBorders>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业务主管部门</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及联系电话</w:t>
            </w:r>
          </w:p>
        </w:tc>
        <w:tc>
          <w:tcPr>
            <w:tcW w:w="7316" w:type="dxa"/>
            <w:tcBorders>
              <w:tl2br w:val="nil"/>
              <w:tr2bl w:val="nil"/>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广州市黄埔区科学技术局（广州开发区科技创新局）</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联系电话：82111242</w:t>
            </w:r>
            <w:r>
              <w:rPr>
                <w:rFonts w:hint="eastAsia" w:eastAsia="仿宋_GB2312" w:cs="仿宋_GB2312"/>
                <w:sz w:val="32"/>
                <w:szCs w:val="32"/>
              </w:rPr>
              <w:t>，邮箱</w:t>
            </w:r>
            <w:r>
              <w:rPr>
                <w:rFonts w:hint="eastAsia" w:ascii="仿宋_GB2312" w:hAnsi="仿宋_GB2312" w:eastAsia="仿宋_GB2312" w:cs="仿宋_GB2312"/>
                <w:sz w:val="32"/>
                <w:szCs w:val="32"/>
              </w:rPr>
              <w:t>：973895474@qq.com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83" w:type="dxa"/>
            <w:tcBorders>
              <w:tl2br w:val="nil"/>
              <w:tr2bl w:val="nil"/>
            </w:tcBorders>
            <w:vAlign w:val="center"/>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政策兑现窗口</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及联系电话</w:t>
            </w:r>
          </w:p>
        </w:tc>
        <w:tc>
          <w:tcPr>
            <w:tcW w:w="7316" w:type="dxa"/>
            <w:tcBorders>
              <w:tl2br w:val="nil"/>
              <w:tr2bl w:val="nil"/>
            </w:tcBorders>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广州开发区政策研究室“政策兑现”窗口</w:t>
            </w:r>
          </w:p>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联系电话：82114062</w:t>
            </w:r>
          </w:p>
        </w:tc>
      </w:tr>
    </w:tbl>
    <w:p>
      <w:pPr>
        <w:jc w:val="left"/>
        <w:rPr>
          <w:rFonts w:ascii="仿宋_GB2312" w:hAnsi="仿宋_GB2312" w:eastAsia="仿宋_GB2312" w:cs="仿宋_GB2312"/>
          <w:b/>
          <w:bCs/>
          <w:sz w:val="32"/>
          <w:szCs w:val="32"/>
        </w:rPr>
      </w:pPr>
    </w:p>
    <w:p>
      <w:pPr>
        <w:numPr>
          <w:ilvl w:val="0"/>
          <w:numId w:val="1"/>
        </w:num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办理流程</w:t>
      </w:r>
    </w:p>
    <w:p>
      <w:pPr>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该事项属于免申即享事项，企业无需主动申请，无需提供申请材料，只需按以下流程确认资金申领意愿即可。</w:t>
      </w:r>
      <w:r>
        <w:rPr>
          <w:rFonts w:ascii="宋体" w:hAnsi="宋体" w:cs="宋体"/>
          <w:b/>
          <w:bCs/>
          <w:sz w:val="28"/>
          <w:szCs w:val="28"/>
        </w:rPr>
        <w:drawing>
          <wp:inline distT="0" distB="0" distL="114300" distR="114300">
            <wp:extent cx="6032500" cy="5848350"/>
            <wp:effectExtent l="0" t="0" r="0" b="0"/>
            <wp:docPr id="2" name="图片 2" descr="C:\Users\hp\Desktop\免申即享指南流程图(6).png免申即享指南流程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esktop\免申即享指南流程图(6).png免申即享指南流程图(6)"/>
                    <pic:cNvPicPr>
                      <a:picLocks noChangeAspect="1"/>
                    </pic:cNvPicPr>
                  </pic:nvPicPr>
                  <pic:blipFill>
                    <a:blip r:embed="rId4"/>
                    <a:srcRect/>
                    <a:stretch>
                      <a:fillRect/>
                    </a:stretch>
                  </pic:blipFill>
                  <pic:spPr>
                    <a:xfrm>
                      <a:off x="0" y="0"/>
                      <a:ext cx="6032500" cy="5848350"/>
                    </a:xfrm>
                    <a:prstGeom prst="rect">
                      <a:avLst/>
                    </a:prstGeom>
                  </pic:spPr>
                </pic:pic>
              </a:graphicData>
            </a:graphic>
          </wp:inline>
        </w:drawing>
      </w:r>
    </w:p>
    <w:p>
      <w:pPr>
        <w:jc w:val="center"/>
        <w:rPr>
          <w:rFonts w:ascii="宋体" w:hAnsi="宋体" w:cs="宋体"/>
          <w:b/>
          <w:bCs/>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81353"/>
    <w:multiLevelType w:val="singleLevel"/>
    <w:tmpl w:val="0A0813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A75FB"/>
    <w:rsid w:val="009D6A38"/>
    <w:rsid w:val="024A2596"/>
    <w:rsid w:val="031D2B1C"/>
    <w:rsid w:val="035A1394"/>
    <w:rsid w:val="093D552F"/>
    <w:rsid w:val="0A4B3D03"/>
    <w:rsid w:val="0E87466C"/>
    <w:rsid w:val="10A71113"/>
    <w:rsid w:val="12126A15"/>
    <w:rsid w:val="125C0707"/>
    <w:rsid w:val="12F04553"/>
    <w:rsid w:val="14EA3EE5"/>
    <w:rsid w:val="183312A7"/>
    <w:rsid w:val="1BA973BE"/>
    <w:rsid w:val="1E766F10"/>
    <w:rsid w:val="1F8B79BC"/>
    <w:rsid w:val="242E7660"/>
    <w:rsid w:val="2854448C"/>
    <w:rsid w:val="289A64B1"/>
    <w:rsid w:val="2AD8605C"/>
    <w:rsid w:val="2E0D7796"/>
    <w:rsid w:val="33F24938"/>
    <w:rsid w:val="3BE715A0"/>
    <w:rsid w:val="3BF00E99"/>
    <w:rsid w:val="3CB87175"/>
    <w:rsid w:val="40FD4C42"/>
    <w:rsid w:val="417458F6"/>
    <w:rsid w:val="42955688"/>
    <w:rsid w:val="44A46747"/>
    <w:rsid w:val="46993975"/>
    <w:rsid w:val="47424153"/>
    <w:rsid w:val="474E64B0"/>
    <w:rsid w:val="4A150CDE"/>
    <w:rsid w:val="4A921113"/>
    <w:rsid w:val="4C3067FF"/>
    <w:rsid w:val="50346EA4"/>
    <w:rsid w:val="50D931D6"/>
    <w:rsid w:val="53917695"/>
    <w:rsid w:val="53931F26"/>
    <w:rsid w:val="557F1726"/>
    <w:rsid w:val="59DD7C52"/>
    <w:rsid w:val="5A636AED"/>
    <w:rsid w:val="5B7A73F5"/>
    <w:rsid w:val="5BBC1F5D"/>
    <w:rsid w:val="5D894867"/>
    <w:rsid w:val="5EEC69B1"/>
    <w:rsid w:val="630A05E5"/>
    <w:rsid w:val="645D4B9C"/>
    <w:rsid w:val="6548558A"/>
    <w:rsid w:val="684568E6"/>
    <w:rsid w:val="692A0EA9"/>
    <w:rsid w:val="6C563608"/>
    <w:rsid w:val="6F662DBC"/>
    <w:rsid w:val="70AD7973"/>
    <w:rsid w:val="70F35E6E"/>
    <w:rsid w:val="741F3BBD"/>
    <w:rsid w:val="77A1589D"/>
    <w:rsid w:val="78C3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73</Words>
  <Characters>421</Characters>
  <Lines>3</Lines>
  <Paragraphs>1</Paragraphs>
  <TotalTime>9</TotalTime>
  <ScaleCrop>false</ScaleCrop>
  <LinksUpToDate>false</LinksUpToDate>
  <CharactersWithSpaces>493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2021-01-28T06:52:00Z</dcterms:created>
  <dc:creator>carol</dc:creator>
  <cp:lastModifiedBy>dell</cp:lastModifiedBy>
  <cp:lastPrinted>2021-03-10T07:00:00Z</cp:lastPrinted>
  <dcterms:modified xsi:type="dcterms:W3CDTF">2021-11-17T04:21:34Z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