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ind w:firstLine="440" w:firstLineChars="10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2022年度黄埔区委宣传部整体支出绩效</w:t>
      </w:r>
    </w:p>
    <w:p>
      <w:pPr>
        <w:pStyle w:val="4"/>
        <w:bidi w:val="0"/>
        <w:ind w:firstLine="440" w:firstLineChars="100"/>
        <w:jc w:val="center"/>
        <w:rPr>
          <w:rFonts w:hint="default" w:ascii="Times New Roman" w:hAnsi="Times New Roman" w:eastAsia="方正小标宋简体" w:cs="Times New Roman"/>
          <w:kern w:val="2"/>
          <w:sz w:val="44"/>
          <w:szCs w:val="44"/>
          <w:lang w:val="en-US" w:eastAsia="zh-CN" w:bidi="ar-SA"/>
        </w:rPr>
      </w:pPr>
      <w:r>
        <w:rPr>
          <w:rFonts w:hint="default" w:ascii="Times New Roman" w:hAnsi="Times New Roman" w:eastAsia="方正小标宋简体" w:cs="Times New Roman"/>
          <w:sz w:val="44"/>
          <w:szCs w:val="44"/>
          <w:lang w:val="en-US" w:eastAsia="zh-CN"/>
        </w:rPr>
        <w:t>自评报告</w:t>
      </w:r>
    </w:p>
    <w:p>
      <w:pPr>
        <w:ind w:firstLine="0" w:firstLineChars="0"/>
        <w:rPr>
          <w:rFonts w:ascii="Times New Roman" w:hAnsi="Times New Roman" w:cs="Times New Roman"/>
        </w:rPr>
      </w:pP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cs="Times New Roman"/>
          <w:color w:val="000000"/>
          <w:sz w:val="32"/>
          <w:highlight w:val="none"/>
          <w:lang w:eastAsia="zh-CN"/>
        </w:rPr>
      </w:pPr>
      <w:bookmarkStart w:id="0" w:name="_Toc14634"/>
      <w:bookmarkStart w:id="1" w:name="_Toc19696"/>
      <w:bookmarkStart w:id="2" w:name="_Toc14504"/>
      <w:bookmarkStart w:id="3" w:name="_Toc17037"/>
      <w:r>
        <w:rPr>
          <w:rFonts w:hint="default" w:ascii="Times New Roman" w:hAnsi="Times New Roman" w:cs="Times New Roman"/>
          <w:color w:val="000000"/>
          <w:sz w:val="32"/>
          <w:highlight w:val="none"/>
          <w:lang w:eastAsia="zh-CN"/>
        </w:rPr>
        <w:t>一、基本情况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default" w:ascii="Times New Roman" w:hAnsi="Times New Roman" w:eastAsia="楷体_GB2312" w:cs="Times New Roman"/>
          <w:b/>
          <w:bCs/>
          <w:color w:val="000000"/>
          <w:kern w:val="44"/>
          <w:sz w:val="32"/>
          <w:highlight w:val="none"/>
          <w:lang w:eastAsia="zh-CN"/>
        </w:rPr>
      </w:pPr>
      <w:r>
        <w:rPr>
          <w:rFonts w:hint="default" w:ascii="Times New Roman" w:hAnsi="Times New Roman" w:eastAsia="楷体_GB2312" w:cs="Times New Roman"/>
          <w:b/>
          <w:bCs/>
          <w:color w:val="000000"/>
          <w:kern w:val="44"/>
          <w:sz w:val="32"/>
          <w:highlight w:val="none"/>
        </w:rPr>
        <w:t>（一）</w:t>
      </w:r>
      <w:r>
        <w:rPr>
          <w:rFonts w:hint="default" w:ascii="Times New Roman" w:hAnsi="Times New Roman" w:eastAsia="楷体_GB2312" w:cs="Times New Roman"/>
          <w:b/>
          <w:bCs/>
          <w:color w:val="000000"/>
          <w:kern w:val="44"/>
          <w:sz w:val="32"/>
          <w:highlight w:val="none"/>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黄埔区委宣传部是区委主管全区意识形态方面的工作部门。本部门内设科室7个，分别是办公室、理论科、新闻科、精神文明建设办公室、文化科、版权管理科、网信办（区互联网信息办公室）</w:t>
      </w:r>
      <w:r>
        <w:rPr>
          <w:rFonts w:hint="default" w:ascii="Times New Roman" w:hAnsi="Times New Roman" w:cs="Times New Roman"/>
          <w:color w:val="000000"/>
          <w:sz w:val="32"/>
          <w:szCs w:val="32"/>
          <w:highlight w:val="none"/>
          <w:lang w:val="en-US" w:eastAsia="zh-CN"/>
        </w:rPr>
        <w:t>；下属2个预算单位，下属单位分别是：广州市黄埔区融媒体中心、广州市黄埔区互联网舆情信息中心。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723" w:firstLineChars="225"/>
        <w:textAlignment w:val="auto"/>
        <w:outlineLvl w:val="9"/>
        <w:rPr>
          <w:rFonts w:hint="default" w:ascii="Times New Roman" w:hAnsi="Times New Roman" w:eastAsia="楷体_GB2312" w:cs="Times New Roman"/>
          <w:b/>
          <w:bCs/>
          <w:color w:val="000000"/>
          <w:kern w:val="44"/>
          <w:sz w:val="32"/>
          <w:highlight w:val="none"/>
          <w:lang w:eastAsia="zh-CN"/>
        </w:rPr>
      </w:pPr>
      <w:r>
        <w:rPr>
          <w:rFonts w:hint="default" w:ascii="Times New Roman" w:hAnsi="Times New Roman" w:eastAsia="楷体_GB2312" w:cs="Times New Roman"/>
          <w:b/>
          <w:bCs/>
          <w:color w:val="000000"/>
          <w:kern w:val="44"/>
          <w:sz w:val="32"/>
          <w:highlight w:val="none"/>
          <w:lang w:eastAsia="zh-CN"/>
        </w:rPr>
        <w:t>年度总体工作和重点工作任务</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rPr>
        <w:t>1.总体目标完成情况。</w:t>
      </w:r>
      <w:r>
        <w:rPr>
          <w:rFonts w:hint="default" w:ascii="Times New Roman" w:hAnsi="Times New Roman" w:eastAsia="仿宋_GB2312" w:cs="Times New Roman"/>
          <w:color w:val="000000"/>
          <w:sz w:val="32"/>
          <w:szCs w:val="32"/>
          <w:highlight w:val="none"/>
          <w:lang w:val="en-US" w:eastAsia="zh-CN"/>
        </w:rPr>
        <w:t>2022年，黄埔区宣传思想文化战线坚持以习近平新时代中国特色社会主义思想为指导，深入学习宣传贯彻党的十九届历次全会精神，围绕</w:t>
      </w:r>
      <w:r>
        <w:rPr>
          <w:rFonts w:hint="default" w:ascii="Times New Roman" w:hAnsi="Times New Roman" w:eastAsia="仿宋_GB2312" w:cs="Times New Roman"/>
          <w:color w:val="000000"/>
          <w:sz w:val="32"/>
          <w:szCs w:val="32"/>
          <w:highlight w:val="none"/>
        </w:rPr>
        <w:t>迎接、宣传、贯彻党的二十大工作主线</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围绕全区中心工作，自觉承担起举旗帜、聚民心、育新人、兴文化、展形象的使命任务，坚持稳中求进、守正创新，推动宣传思想文化各项工作不断开创新局面，为全区高质量发展提供坚强思想保证和强大精神力量。</w:t>
      </w:r>
    </w:p>
    <w:p>
      <w:pPr>
        <w:keepNext w:val="0"/>
        <w:keepLines w:val="0"/>
        <w:pageBreakBefore w:val="0"/>
        <w:widowControl/>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hint="default" w:ascii="Times New Roman" w:hAnsi="Times New Roman" w:eastAsia="楷体_GB2312" w:cs="Times New Roman"/>
          <w:b/>
          <w:bCs/>
          <w:color w:val="000000"/>
          <w:kern w:val="44"/>
          <w:sz w:val="32"/>
          <w:highlight w:val="none"/>
        </w:rPr>
      </w:pPr>
      <w:r>
        <w:rPr>
          <w:rFonts w:hint="default" w:ascii="Times New Roman" w:hAnsi="Times New Roman" w:eastAsia="仿宋_GB2312" w:cs="Times New Roman"/>
          <w:color w:val="000000"/>
          <w:sz w:val="32"/>
          <w:szCs w:val="32"/>
          <w:highlight w:val="none"/>
        </w:rPr>
        <w:t>2.总体工作完成情况。</w:t>
      </w:r>
      <w:r>
        <w:rPr>
          <w:rFonts w:hint="default" w:ascii="Times New Roman" w:hAnsi="Times New Roman" w:eastAsia="仿宋_GB2312" w:cs="Times New Roman"/>
          <w:b/>
          <w:bCs/>
          <w:color w:val="000000"/>
          <w:sz w:val="32"/>
          <w:szCs w:val="32"/>
          <w:highlight w:val="none"/>
          <w:u w:val="none"/>
          <w:lang w:val="en-US" w:eastAsia="zh-CN"/>
        </w:rPr>
        <w:t>一</w:t>
      </w:r>
      <w:r>
        <w:rPr>
          <w:rFonts w:hint="default" w:ascii="Times New Roman" w:hAnsi="Times New Roman" w:cs="Times New Roman"/>
          <w:b/>
          <w:bCs/>
          <w:color w:val="000000"/>
          <w:sz w:val="32"/>
          <w:szCs w:val="32"/>
          <w:highlight w:val="none"/>
          <w:u w:val="none"/>
          <w:lang w:val="en-US" w:eastAsia="zh-CN"/>
        </w:rPr>
        <w:t>是</w:t>
      </w:r>
      <w:r>
        <w:rPr>
          <w:rFonts w:hint="default" w:ascii="Times New Roman" w:hAnsi="Times New Roman" w:eastAsia="仿宋_GB2312" w:cs="Times New Roman"/>
          <w:b/>
          <w:bCs/>
          <w:color w:val="000000"/>
          <w:sz w:val="32"/>
          <w:szCs w:val="32"/>
          <w:highlight w:val="none"/>
          <w:u w:val="none"/>
          <w:lang w:val="en-US" w:eastAsia="zh-CN"/>
        </w:rPr>
        <w:t>强化思想引领，以深学细悟筑牢理想信念</w:t>
      </w:r>
      <w:r>
        <w:rPr>
          <w:rFonts w:hint="default" w:ascii="Times New Roman" w:hAnsi="Times New Roman" w:cs="Times New Roman"/>
          <w:b/>
          <w:bCs/>
          <w:color w:val="000000"/>
          <w:sz w:val="32"/>
          <w:szCs w:val="32"/>
          <w:highlight w:val="none"/>
          <w:u w:val="none"/>
          <w:lang w:val="en-US" w:eastAsia="zh-CN"/>
        </w:rPr>
        <w:t>。</w:t>
      </w:r>
      <w:r>
        <w:rPr>
          <w:rFonts w:hint="default" w:ascii="Times New Roman" w:hAnsi="Times New Roman" w:cs="Times New Roman"/>
          <w:color w:val="000000"/>
          <w:sz w:val="32"/>
          <w:szCs w:val="32"/>
          <w:highlight w:val="none"/>
          <w:u w:val="none"/>
          <w:lang w:val="en-US" w:eastAsia="zh-CN"/>
        </w:rPr>
        <w:t>全年对标对表抓实理论学习、理论阐释，入脑入心抓活理论宣讲。深化完善区委理论学习中心组制度，</w:t>
      </w:r>
      <w:r>
        <w:rPr>
          <w:rFonts w:hint="default" w:ascii="Times New Roman" w:hAnsi="Times New Roman" w:eastAsia="仿宋_GB2312" w:cs="Times New Roman"/>
          <w:b w:val="0"/>
          <w:bCs w:val="0"/>
          <w:i w:val="0"/>
          <w:caps w:val="0"/>
          <w:color w:val="auto"/>
          <w:spacing w:val="0"/>
          <w:kern w:val="0"/>
          <w:sz w:val="32"/>
          <w:szCs w:val="32"/>
          <w:lang w:val="en-US" w:eastAsia="zh-CN"/>
        </w:rPr>
        <w:t>持续</w:t>
      </w:r>
      <w:r>
        <w:rPr>
          <w:rFonts w:hint="default" w:ascii="Times New Roman" w:hAnsi="Times New Roman" w:eastAsia="仿宋_GB2312" w:cs="Times New Roman"/>
          <w:b w:val="0"/>
          <w:i w:val="0"/>
          <w:caps w:val="0"/>
          <w:color w:val="auto"/>
          <w:spacing w:val="0"/>
          <w:kern w:val="0"/>
          <w:sz w:val="32"/>
          <w:szCs w:val="32"/>
          <w:lang w:val="en-US" w:eastAsia="zh-CN"/>
        </w:rPr>
        <w:t>培育“埔公英”基层宣讲品牌，组织区委宣讲团、百姓宣讲团成员围绕学习贯彻党的二十大精神、《习近平谈治国理政》第四卷等主题开展各类宣讲540余次</w:t>
      </w:r>
      <w:r>
        <w:rPr>
          <w:rFonts w:hint="default" w:ascii="Times New Roman" w:hAnsi="Times New Roman" w:cs="Times New Roman"/>
          <w:b w:val="0"/>
          <w:i w:val="0"/>
          <w:caps w:val="0"/>
          <w:color w:val="auto"/>
          <w:spacing w:val="0"/>
          <w:kern w:val="0"/>
          <w:sz w:val="32"/>
          <w:szCs w:val="32"/>
          <w:lang w:val="en-US" w:eastAsia="zh-CN"/>
        </w:rPr>
        <w:t>，</w:t>
      </w:r>
      <w:r>
        <w:rPr>
          <w:rFonts w:hint="default" w:ascii="Times New Roman" w:hAnsi="Times New Roman" w:eastAsia="仿宋_GB2312" w:cs="Times New Roman"/>
          <w:b w:val="0"/>
          <w:i w:val="0"/>
          <w:caps w:val="0"/>
          <w:color w:val="auto"/>
          <w:spacing w:val="0"/>
          <w:kern w:val="0"/>
          <w:sz w:val="32"/>
          <w:szCs w:val="32"/>
          <w:highlight w:val="none"/>
          <w:lang w:val="en-US" w:eastAsia="zh-CN"/>
        </w:rPr>
        <w:t>印发《关于推动党史学习教育常态化长效化的通知》，将党史学习教育纳入绩效考核，切实推动党史学习教育常态化长效化。</w:t>
      </w:r>
      <w:r>
        <w:rPr>
          <w:rFonts w:hint="default" w:ascii="Times New Roman" w:hAnsi="Times New Roman" w:eastAsia="仿宋_GB2312" w:cs="Times New Roman"/>
          <w:b/>
          <w:bCs/>
          <w:color w:val="auto"/>
          <w:sz w:val="32"/>
          <w:szCs w:val="32"/>
          <w:u w:val="none"/>
          <w:lang w:val="en-US" w:eastAsia="zh-CN"/>
        </w:rPr>
        <w:t>二</w:t>
      </w:r>
      <w:r>
        <w:rPr>
          <w:rFonts w:hint="default" w:ascii="Times New Roman" w:hAnsi="Times New Roman" w:cs="Times New Roman"/>
          <w:b/>
          <w:bCs/>
          <w:color w:val="auto"/>
          <w:sz w:val="32"/>
          <w:szCs w:val="32"/>
          <w:u w:val="none"/>
          <w:lang w:val="en-US" w:eastAsia="zh-CN"/>
        </w:rPr>
        <w:t>是</w:t>
      </w:r>
      <w:r>
        <w:rPr>
          <w:rFonts w:hint="default" w:ascii="Times New Roman" w:hAnsi="Times New Roman" w:eastAsia="仿宋_GB2312" w:cs="Times New Roman"/>
          <w:b/>
          <w:bCs/>
          <w:color w:val="auto"/>
          <w:sz w:val="32"/>
          <w:szCs w:val="32"/>
          <w:u w:val="none"/>
          <w:lang w:val="en-US" w:eastAsia="zh-CN"/>
        </w:rPr>
        <w:t>壮大主流舆论，以黄埔声音汇聚奋进力量</w:t>
      </w:r>
      <w:r>
        <w:rPr>
          <w:rFonts w:hint="default" w:ascii="Times New Roman" w:hAnsi="Times New Roman" w:cs="Times New Roman"/>
          <w:b/>
          <w:bCs/>
          <w:sz w:val="32"/>
          <w:szCs w:val="32"/>
          <w:u w:val="none"/>
          <w:lang w:val="en-US" w:eastAsia="zh-CN"/>
        </w:rPr>
        <w:t>。</w:t>
      </w:r>
      <w:r>
        <w:rPr>
          <w:rFonts w:hint="default" w:ascii="Times New Roman" w:hAnsi="Times New Roman" w:cs="Times New Roman"/>
          <w:sz w:val="32"/>
          <w:szCs w:val="32"/>
          <w:u w:val="none"/>
          <w:lang w:val="en-US" w:eastAsia="zh-CN"/>
        </w:rPr>
        <w:t>坚持团结稳定鼓劲、正面宣传为主，密切联系媒体智库，推动我区被评为2022年县域高质量发展典型案例、岭南文化传承发展典范区、广东文化强省建设示范案例（区）。央媒报道亮点纷呈。海内外媒体共刊播我区报道2万多条次，报道数量和质量全省领先、全市领跑。持续提升“央媒传播工程”，央媒报道3000多条次，《人民日报》等重点央媒以我区为重点案例刊发头版报道18条（头版头条报道5条），央视新闻联播10条。主题宣传浓墨重彩。</w:t>
      </w:r>
      <w:r>
        <w:rPr>
          <w:rFonts w:hint="default" w:ascii="Times New Roman" w:hAnsi="Times New Roman" w:cs="Times New Roman"/>
          <w:b/>
          <w:bCs/>
          <w:color w:val="auto"/>
          <w:kern w:val="0"/>
          <w:sz w:val="32"/>
          <w:szCs w:val="32"/>
          <w:u w:val="none"/>
          <w:lang w:val="en-US" w:eastAsia="zh-CN"/>
        </w:rPr>
        <w:t>三是深化全域文明，以全民共建提升创建质效。</w:t>
      </w:r>
      <w:r>
        <w:rPr>
          <w:rFonts w:hint="default" w:ascii="Times New Roman" w:hAnsi="Times New Roman" w:cs="Times New Roman"/>
          <w:color w:val="auto"/>
          <w:kern w:val="0"/>
          <w:sz w:val="32"/>
          <w:szCs w:val="32"/>
          <w:u w:val="none"/>
          <w:lang w:val="en-US" w:eastAsia="zh-CN"/>
        </w:rPr>
        <w:t>持续深化文明实践，全面推进文明创建，不断增强文明凝聚力、生命力和吸引力。推动文明培育开花结果。广泛开展社会主义核心价值观和中国梦宣传教育，着力推进“身边好人”和各类道德模范选树工作，10人荣获“广州好人”称号。切实加强未成年人思想道德建设，深化文明校园创建，8所学校成功创建文明校园先进学校。推动文明实践落地生根。在全区17个街（镇）开展文明村（社）创建专项整治行动，着力实现“干净、整洁、平安、有序”目标，全力打造美丽中国黄埔样板。</w:t>
      </w:r>
      <w:r>
        <w:rPr>
          <w:rFonts w:hint="default" w:ascii="Times New Roman" w:hAnsi="Times New Roman" w:cs="Times New Roman"/>
          <w:b/>
          <w:bCs/>
          <w:color w:val="auto"/>
          <w:kern w:val="0"/>
          <w:sz w:val="32"/>
          <w:szCs w:val="32"/>
          <w:u w:val="none"/>
          <w:lang w:val="en-US" w:eastAsia="zh-CN"/>
        </w:rPr>
        <w:t>四是优化文化供给，推动历史文化资源活化利用。</w:t>
      </w:r>
      <w:r>
        <w:rPr>
          <w:rFonts w:hint="default" w:ascii="Times New Roman" w:hAnsi="Times New Roman" w:cs="Times New Roman"/>
          <w:color w:val="auto"/>
          <w:kern w:val="0"/>
          <w:sz w:val="32"/>
          <w:szCs w:val="32"/>
          <w:u w:val="none"/>
          <w:lang w:val="en-US" w:eastAsia="zh-CN"/>
        </w:rPr>
        <w:t>选点我区古祠堂、古戏台等“十古”历史文化遗存举办“到黄埔去 共享大美”2022户外音乐季，五场演出超过10万人次线上线下观看。大力弘扬传承非物质文化遗产，创建获批“广东省少儿戏曲传承基地”，创作粤曲童谣《南音颂湾区》获“岭南童谣节”特等奖，创作中国画山水长卷《黄埔文脉 染翰之雅书法篆刻百米长卷》《大美黄埔》入选市文联文艺精品展。</w:t>
      </w:r>
      <w:r>
        <w:rPr>
          <w:rFonts w:hint="default" w:ascii="Times New Roman" w:hAnsi="Times New Roman" w:cs="Times New Roman"/>
          <w:b/>
          <w:bCs/>
          <w:color w:val="auto"/>
          <w:kern w:val="0"/>
          <w:sz w:val="32"/>
          <w:szCs w:val="32"/>
          <w:u w:val="none"/>
          <w:lang w:val="en-US" w:eastAsia="zh-CN"/>
        </w:rPr>
        <w:t>五是强化融合发展，推动文化产业做大做强。</w:t>
      </w:r>
      <w:r>
        <w:rPr>
          <w:rFonts w:hint="default" w:ascii="Times New Roman" w:hAnsi="Times New Roman" w:cs="Times New Roman"/>
          <w:color w:val="auto"/>
          <w:kern w:val="0"/>
          <w:sz w:val="32"/>
          <w:szCs w:val="32"/>
          <w:u w:val="none"/>
          <w:lang w:val="en-US" w:eastAsia="zh-CN"/>
        </w:rPr>
        <w:t>推动文化产业高质量发展。擦亮广州国家文化和科技融合示范基地品牌，基地在2022年科技部、中宣部基地绩效评价中获评“优秀”，并受邀参加“南京融交会”。励弘文创旗舰园被确定为2022年度省级文化产业示范园区创建单位，奥飞文创中心获市级文化产业示范园区，新增3个区级以上文化产业园区，新增18个企业和项目落户。全面助推产业融合发展。策划“广州福山园区与黄埔乳业之旅”入选广东省第二批工业旅游精品线路（广州仅入选2条），推荐2个村镇入选首批市级休闲农业与乡村旅游示范镇、点。全力创建国家对外文化贸易基地，高位谋划《中新广州知识城旅游发展总体规划》。推进“文旅十条”等多项政策兑现，共扶持32家企业34个项目，涉及扶持资金844万元。</w:t>
      </w:r>
      <w:r>
        <w:rPr>
          <w:rFonts w:hint="default" w:ascii="Times New Roman" w:hAnsi="Times New Roman" w:cs="Times New Roman"/>
          <w:b/>
          <w:bCs/>
          <w:color w:val="auto"/>
          <w:kern w:val="0"/>
          <w:sz w:val="32"/>
          <w:szCs w:val="32"/>
          <w:u w:val="none"/>
          <w:lang w:val="en-US" w:eastAsia="zh-CN"/>
        </w:rPr>
        <w:t>六是提升版权服务，以新风正道构建清朗之域。</w:t>
      </w:r>
      <w:r>
        <w:rPr>
          <w:rFonts w:hint="default" w:ascii="Times New Roman" w:hAnsi="Times New Roman" w:cs="Times New Roman"/>
          <w:color w:val="auto"/>
          <w:kern w:val="0"/>
          <w:sz w:val="32"/>
          <w:szCs w:val="32"/>
          <w:u w:val="none"/>
          <w:lang w:val="en-US" w:eastAsia="zh-CN"/>
        </w:rPr>
        <w:t>贯彻落实版权强国建设，不断推动我区新闻出版、版权、“扫黄打非”各项工作开创新局面。加大版权政策扶持力度。率先推出版权质押融资风险补偿机制，全年累计为9家企业发放版权类资助507万元，推动广州欧科信息技术股份有限公司获评我区首个“全国版权示范单位”。持续深入推进软件正版化工作，全年发放软件正版化补贴447万余元。探索版权领域深度服务。与中国新闻出版研究院共同出版并发布《版权金融政策与服务模式研究》一书，编制《黄埔区游戏产业发展报告》，协调相关职能部门帮助企业纾解难题。建立版权保护与服务文冲街文冲社区工作站，提供非遗作品版权免费登记服务。</w:t>
      </w:r>
      <w:r>
        <w:rPr>
          <w:rFonts w:hint="default" w:ascii="Times New Roman" w:hAnsi="Times New Roman" w:cs="Times New Roman"/>
          <w:b/>
          <w:bCs/>
          <w:color w:val="auto"/>
          <w:kern w:val="0"/>
          <w:sz w:val="32"/>
          <w:szCs w:val="32"/>
          <w:u w:val="none"/>
          <w:lang w:val="en-US" w:eastAsia="zh-CN"/>
        </w:rPr>
        <w:t>七是融入国家平台，持续唱响“到黄埔去”主旋律。</w:t>
      </w:r>
      <w:r>
        <w:rPr>
          <w:rFonts w:hint="default" w:ascii="Times New Roman" w:hAnsi="Times New Roman" w:cs="Times New Roman"/>
          <w:color w:val="auto"/>
          <w:kern w:val="0"/>
          <w:sz w:val="32"/>
          <w:szCs w:val="32"/>
          <w:u w:val="none"/>
          <w:lang w:val="en-US" w:eastAsia="zh-CN"/>
        </w:rPr>
        <w:t>用好用活“外嘴”资源。在全省率先打造“海外新闻官”队伍，多次参与“外国青年走读中国”“新时代，我在中国”“外眼看中国”央媒外宣策划，代言黄埔讲好中国故事。实施大湾区传播工程。打造特色国际传播平台。率先孵化海外社交媒体区级头部机构号，“Yes！Huangpu”粉丝量全市各区第一，斩获新华社“优秀国际传播奖”、全国区县级海外优秀社交媒体平台。深耕品牌形象IP，生物岛30秒英文宣传片亮相美国纽约时代广场大屏，“到黄埔去”话题新浪微博阅读量累计3.8亿。</w:t>
      </w:r>
      <w:r>
        <w:rPr>
          <w:rFonts w:hint="default" w:ascii="Times New Roman" w:hAnsi="Times New Roman" w:cs="Times New Roman"/>
          <w:b/>
          <w:bCs/>
          <w:color w:val="auto"/>
          <w:kern w:val="0"/>
          <w:sz w:val="32"/>
          <w:szCs w:val="32"/>
          <w:u w:val="none"/>
          <w:lang w:val="en-US" w:eastAsia="zh-CN"/>
        </w:rPr>
        <w:t>八是坚持守土尽责，以底线思维筑牢安全之基。</w:t>
      </w:r>
      <w:r>
        <w:rPr>
          <w:rFonts w:hint="default" w:ascii="Times New Roman" w:hAnsi="Times New Roman" w:cs="Times New Roman"/>
          <w:color w:val="auto"/>
          <w:kern w:val="0"/>
          <w:sz w:val="32"/>
          <w:szCs w:val="32"/>
          <w:u w:val="none"/>
          <w:lang w:val="en-US" w:eastAsia="zh-CN"/>
        </w:rPr>
        <w:t>始终坚持党管意识形态，全面贯彻落实意识形态工作责任制，意识形态领域态势总体平稳有序。强化主体责任落实。健全完善意识形态工作联席会议制度、分析研判、通报和督查考核等制度机制，区委常委会、开发区党工委会议听取涉意识形态工作汇报8次，召开意识形态工作联席会议、座谈会等9次，及时分析掌握意识形态领域动态，妥善处置苗头性、倾向性问题。开展专项整治行动，加强网络平台监</w:t>
      </w:r>
      <w:bookmarkStart w:id="16" w:name="_GoBack"/>
      <w:bookmarkEnd w:id="16"/>
      <w:r>
        <w:rPr>
          <w:rFonts w:hint="default" w:ascii="Times New Roman" w:hAnsi="Times New Roman" w:cs="Times New Roman"/>
          <w:color w:val="auto"/>
          <w:kern w:val="0"/>
          <w:sz w:val="32"/>
          <w:szCs w:val="32"/>
          <w:u w:val="none"/>
          <w:lang w:val="en-US" w:eastAsia="zh-CN"/>
        </w:rPr>
        <w:t>管，排查网站、APP、论坛等760余家次，发现并处置各类网络安全漏洞230余个，对辖内医疗、金融、科技领域50家企业开展现场检查，保持全区网络安全和数据安全稳定态势。</w:t>
      </w:r>
    </w:p>
    <w:p>
      <w:pPr>
        <w:spacing w:line="600" w:lineRule="exact"/>
        <w:ind w:firstLine="723" w:firstLineChars="225"/>
        <w:outlineLvl w:val="9"/>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楷体_GB2312" w:cs="Times New Roman"/>
          <w:b/>
          <w:bCs/>
          <w:color w:val="000000"/>
          <w:kern w:val="44"/>
          <w:sz w:val="32"/>
          <w:highlight w:val="none"/>
        </w:rPr>
        <w:t>（三）部门</w:t>
      </w:r>
      <w:r>
        <w:rPr>
          <w:rFonts w:hint="default" w:ascii="Times New Roman" w:hAnsi="Times New Roman" w:eastAsia="楷体_GB2312" w:cs="Times New Roman"/>
          <w:b/>
          <w:bCs/>
          <w:color w:val="000000"/>
          <w:kern w:val="44"/>
          <w:sz w:val="32"/>
          <w:highlight w:val="none"/>
          <w:lang w:eastAsia="zh-CN"/>
        </w:rPr>
        <w:t>整体收支情况</w:t>
      </w:r>
    </w:p>
    <w:p>
      <w:pPr>
        <w:spacing w:line="600" w:lineRule="exact"/>
        <w:ind w:firstLine="720" w:firstLineChars="225"/>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1.部门整体支出绩效目标。为客观综合反映部门预算资金支出绩效情况，我部按照“职能—项目”形式，全面梳理部门“三定”方案职能，结合年度工作重点，对标对表编制部门整体支出绩效。</w:t>
      </w:r>
    </w:p>
    <w:p>
      <w:pPr>
        <w:spacing w:line="600" w:lineRule="exact"/>
        <w:ind w:firstLine="720" w:firstLineChars="225"/>
        <w:outlineLvl w:val="9"/>
        <w:rPr>
          <w:rFonts w:hint="default" w:ascii="Times New Roman" w:hAnsi="Times New Roman" w:cs="Times New Roman"/>
          <w:color w:val="auto"/>
          <w:kern w:val="2"/>
          <w:szCs w:val="32"/>
          <w:u w:val="none"/>
          <w:lang w:val="en-US" w:eastAsia="zh-CN"/>
        </w:rPr>
      </w:pPr>
      <w:r>
        <w:rPr>
          <w:rFonts w:hint="default" w:ascii="Times New Roman" w:hAnsi="Times New Roman" w:cs="Times New Roman"/>
          <w:color w:val="auto"/>
          <w:kern w:val="2"/>
          <w:szCs w:val="32"/>
          <w:u w:val="none"/>
          <w:lang w:val="en-US" w:eastAsia="zh-CN"/>
        </w:rPr>
        <w:t>2.预算完成情况、收支规模、支出进度。</w:t>
      </w:r>
      <w:r>
        <w:rPr>
          <w:rFonts w:hint="default" w:ascii="Times New Roman" w:hAnsi="Times New Roman" w:eastAsia="仿宋_GB2312" w:cs="Times New Roman"/>
          <w:sz w:val="32"/>
          <w:szCs w:val="32"/>
        </w:rPr>
        <w:t>全年预算数</w:t>
      </w:r>
      <w:r>
        <w:rPr>
          <w:rFonts w:hint="default" w:ascii="Times New Roman" w:hAnsi="Times New Roman" w:eastAsia="仿宋_GB2312" w:cs="Times New Roman"/>
          <w:sz w:val="32"/>
          <w:szCs w:val="32"/>
          <w:lang w:val="en-US" w:eastAsia="zh-CN"/>
        </w:rPr>
        <w:t>10730.16</w:t>
      </w:r>
      <w:r>
        <w:rPr>
          <w:rFonts w:hint="default" w:ascii="Times New Roman" w:hAnsi="Times New Roman" w:eastAsia="仿宋_GB2312" w:cs="Times New Roman"/>
          <w:sz w:val="32"/>
          <w:szCs w:val="32"/>
        </w:rPr>
        <w:t>万元，执行数</w:t>
      </w:r>
      <w:r>
        <w:rPr>
          <w:rFonts w:hint="eastAsia" w:cs="Times New Roman"/>
          <w:sz w:val="32"/>
          <w:szCs w:val="32"/>
          <w:lang w:val="en-US" w:eastAsia="zh-CN"/>
        </w:rPr>
        <w:t>10307.43</w:t>
      </w:r>
      <w:r>
        <w:rPr>
          <w:rFonts w:hint="default" w:ascii="Times New Roman" w:hAnsi="Times New Roman" w:eastAsia="仿宋_GB2312" w:cs="Times New Roman"/>
          <w:sz w:val="32"/>
          <w:szCs w:val="32"/>
        </w:rPr>
        <w:t>万元，完成预算的</w:t>
      </w:r>
      <w:r>
        <w:rPr>
          <w:rFonts w:hint="eastAsia" w:cs="Times New Roman"/>
          <w:sz w:val="32"/>
          <w:szCs w:val="32"/>
          <w:lang w:val="en-US" w:eastAsia="zh-CN"/>
        </w:rPr>
        <w:t>96.06</w:t>
      </w:r>
      <w:r>
        <w:rPr>
          <w:rFonts w:hint="default" w:ascii="Times New Roman" w:hAnsi="Times New Roman" w:eastAsia="仿宋_GB2312" w:cs="Times New Roman"/>
          <w:sz w:val="32"/>
          <w:szCs w:val="32"/>
        </w:rPr>
        <w:t>%。</w:t>
      </w:r>
    </w:p>
    <w:p>
      <w:pPr>
        <w:spacing w:line="600" w:lineRule="exact"/>
        <w:ind w:firstLine="723" w:firstLineChars="225"/>
        <w:outlineLvl w:val="9"/>
        <w:rPr>
          <w:rFonts w:hint="default" w:ascii="Times New Roman" w:hAnsi="Times New Roman" w:eastAsia="仿宋_GB2312" w:cs="Times New Roman"/>
          <w:bCs w:val="0"/>
          <w:color w:val="000000"/>
          <w:kern w:val="2"/>
          <w:sz w:val="32"/>
          <w:szCs w:val="32"/>
          <w:highlight w:val="none"/>
          <w:lang w:val="en-US" w:eastAsia="zh-CN" w:bidi="ar-SA"/>
        </w:rPr>
      </w:pPr>
      <w:r>
        <w:rPr>
          <w:rFonts w:hint="default" w:ascii="Times New Roman" w:hAnsi="Times New Roman" w:eastAsia="楷体_GB2312" w:cs="Times New Roman"/>
          <w:b/>
          <w:bCs/>
          <w:color w:val="000000"/>
          <w:sz w:val="32"/>
          <w:szCs w:val="32"/>
          <w:highlight w:val="none"/>
          <w:lang w:val="en-US" w:eastAsia="zh-CN"/>
        </w:rPr>
        <w:t>（四）部门整体绩效管理情况</w:t>
      </w:r>
    </w:p>
    <w:p>
      <w:pPr>
        <w:spacing w:line="600" w:lineRule="exact"/>
        <w:ind w:firstLine="720" w:firstLineChars="225"/>
        <w:outlineLvl w:val="9"/>
        <w:rPr>
          <w:rFonts w:hint="default" w:ascii="Times New Roman" w:hAnsi="Times New Roman" w:eastAsia="仿宋_GB2312" w:cs="Times New Roman"/>
          <w:color w:val="auto"/>
          <w:kern w:val="2"/>
          <w:sz w:val="32"/>
          <w:szCs w:val="32"/>
          <w:u w:val="none"/>
          <w:lang w:eastAsia="zh-CN"/>
        </w:rPr>
      </w:pPr>
      <w:r>
        <w:rPr>
          <w:rFonts w:hint="default" w:ascii="Times New Roman" w:hAnsi="Times New Roman" w:eastAsia="仿宋_GB2312" w:cs="Times New Roman"/>
          <w:color w:val="auto"/>
          <w:kern w:val="2"/>
          <w:sz w:val="32"/>
          <w:szCs w:val="32"/>
          <w:u w:val="none"/>
        </w:rPr>
        <w:t>为加强项目资金预算科学化、精细化管理，强化支出责任和效率，提高财政资金使用效益，我部</w:t>
      </w:r>
      <w:r>
        <w:rPr>
          <w:rFonts w:hint="default" w:ascii="Times New Roman" w:hAnsi="Times New Roman" w:cs="Times New Roman"/>
          <w:color w:val="auto"/>
          <w:kern w:val="2"/>
          <w:sz w:val="32"/>
          <w:szCs w:val="32"/>
          <w:u w:val="none"/>
          <w:lang w:eastAsia="zh-CN"/>
        </w:rPr>
        <w:t>严格执行《</w:t>
      </w:r>
      <w:r>
        <w:rPr>
          <w:rFonts w:hint="default" w:ascii="Times New Roman" w:hAnsi="Times New Roman" w:cs="Times New Roman"/>
          <w:color w:val="auto"/>
          <w:kern w:val="2"/>
          <w:sz w:val="32"/>
          <w:szCs w:val="32"/>
          <w:u w:val="none"/>
          <w:lang w:val="en-US" w:eastAsia="zh-CN"/>
        </w:rPr>
        <w:t>2023年黄埔区财政绩效与管理考核细则</w:t>
      </w:r>
      <w:r>
        <w:rPr>
          <w:rFonts w:hint="default" w:ascii="Times New Roman" w:hAnsi="Times New Roman" w:cs="Times New Roman"/>
          <w:color w:val="auto"/>
          <w:kern w:val="2"/>
          <w:sz w:val="32"/>
          <w:szCs w:val="32"/>
          <w:u w:val="none"/>
          <w:lang w:eastAsia="zh-CN"/>
        </w:rPr>
        <w:t>》要求</w:t>
      </w:r>
      <w:r>
        <w:rPr>
          <w:rFonts w:hint="default" w:ascii="Times New Roman" w:hAnsi="Times New Roman" w:eastAsia="仿宋_GB2312" w:cs="Times New Roman"/>
          <w:color w:val="auto"/>
          <w:kern w:val="2"/>
          <w:sz w:val="32"/>
          <w:szCs w:val="32"/>
          <w:u w:val="none"/>
        </w:rPr>
        <w:t>，从管理职责、绩效目标管理、绩效运行监控、绩效评价管理、绩效结果运用等多维度加强绩效管理，做到财政资金同绩效同步下达、常规项目实施前先审查历年绩效情况，基本建成“预算编制有目标、预算执行有监控、预算完成有评价、评价结果有反馈、反馈结果有响应”的全过程绩效管理链条。绩效运行监控方面，我部按照“全面监控、突出重点”原则，对列入部门整体绩效指标考核内容的重点项目，要求项目主办处室、资金使用单位对所有支出项目按半年、全年时间节点开展绩效自评并进行深度分析评价，确保资金发挥最大</w:t>
      </w:r>
      <w:r>
        <w:rPr>
          <w:rFonts w:hint="default" w:ascii="Times New Roman" w:hAnsi="Times New Roman" w:cs="Times New Roman"/>
          <w:color w:val="auto"/>
          <w:kern w:val="2"/>
          <w:sz w:val="32"/>
          <w:szCs w:val="32"/>
          <w:u w:val="none"/>
          <w:lang w:eastAsia="zh-CN"/>
        </w:rPr>
        <w:t>效益。</w:t>
      </w:r>
    </w:p>
    <w:p>
      <w:pPr>
        <w:pStyle w:val="8"/>
        <w:ind w:firstLine="640"/>
        <w:rPr>
          <w:rFonts w:hint="default" w:ascii="Times New Roman" w:hAnsi="Times New Roman" w:eastAsia="黑体" w:cs="Times New Roman"/>
          <w:color w:val="000000"/>
          <w:sz w:val="32"/>
          <w:szCs w:val="32"/>
          <w:highlight w:val="none"/>
          <w:lang w:val="en-US" w:eastAsia="zh-CN"/>
        </w:rPr>
      </w:pPr>
      <w:bookmarkStart w:id="4" w:name="_Toc5238"/>
      <w:bookmarkStart w:id="5" w:name="_Toc2560"/>
      <w:bookmarkStart w:id="6" w:name="_Toc6706"/>
      <w:bookmarkStart w:id="7" w:name="_Toc13358"/>
      <w:r>
        <w:rPr>
          <w:rFonts w:hint="default" w:ascii="Times New Roman" w:hAnsi="Times New Roman" w:cs="Times New Roman"/>
          <w:color w:val="000000"/>
          <w:sz w:val="32"/>
          <w:highlight w:val="none"/>
          <w:lang w:eastAsia="zh-CN"/>
        </w:rPr>
        <w:t>二</w:t>
      </w:r>
      <w:r>
        <w:rPr>
          <w:rFonts w:hint="default" w:ascii="Times New Roman" w:hAnsi="Times New Roman" w:cs="Times New Roman"/>
          <w:color w:val="000000"/>
          <w:sz w:val="32"/>
          <w:highlight w:val="none"/>
        </w:rPr>
        <w:t>、</w:t>
      </w:r>
      <w:r>
        <w:rPr>
          <w:rFonts w:hint="default" w:ascii="Times New Roman" w:hAnsi="Times New Roman" w:cs="Times New Roman"/>
          <w:color w:val="000000"/>
          <w:sz w:val="32"/>
          <w:highlight w:val="none"/>
          <w:lang w:eastAsia="zh-CN"/>
        </w:rPr>
        <w:t>综合评价分析</w:t>
      </w:r>
      <w:bookmarkEnd w:id="4"/>
      <w:bookmarkEnd w:id="5"/>
      <w:bookmarkEnd w:id="6"/>
      <w:bookmarkEnd w:id="7"/>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textAlignment w:val="auto"/>
        <w:outlineLvl w:val="9"/>
        <w:rPr>
          <w:rFonts w:hint="default" w:ascii="Times New Roman" w:hAnsi="Times New Roman" w:eastAsia="仿宋_GB2312" w:cs="Times New Roman"/>
          <w:bCs w:val="0"/>
          <w:color w:val="000000"/>
          <w:kern w:val="2"/>
          <w:sz w:val="32"/>
          <w:szCs w:val="32"/>
          <w:highlight w:val="none"/>
          <w:lang w:val="en-US" w:eastAsia="zh-CN" w:bidi="ar-SA"/>
        </w:rPr>
      </w:pPr>
      <w:bookmarkStart w:id="8" w:name="_Toc1487"/>
      <w:bookmarkStart w:id="9" w:name="_Toc8786"/>
      <w:bookmarkStart w:id="10" w:name="_Toc26520"/>
      <w:bookmarkStart w:id="11" w:name="_Toc7453"/>
      <w:r>
        <w:rPr>
          <w:rFonts w:hint="default" w:ascii="Times New Roman" w:hAnsi="Times New Roman" w:eastAsia="楷体_GB2312" w:cs="Times New Roman"/>
          <w:b/>
          <w:color w:val="000000"/>
          <w:kern w:val="44"/>
          <w:sz w:val="32"/>
          <w:highlight w:val="none"/>
        </w:rPr>
        <w:t>（</w:t>
      </w:r>
      <w:r>
        <w:rPr>
          <w:rFonts w:hint="default" w:ascii="Times New Roman" w:hAnsi="Times New Roman" w:eastAsia="楷体_GB2312" w:cs="Times New Roman"/>
          <w:b/>
          <w:color w:val="000000"/>
          <w:kern w:val="44"/>
          <w:sz w:val="32"/>
          <w:highlight w:val="none"/>
          <w:lang w:eastAsia="zh-CN"/>
        </w:rPr>
        <w:t>一</w:t>
      </w:r>
      <w:r>
        <w:rPr>
          <w:rFonts w:hint="default" w:ascii="Times New Roman" w:hAnsi="Times New Roman" w:eastAsia="楷体_GB2312" w:cs="Times New Roman"/>
          <w:b/>
          <w:color w:val="000000"/>
          <w:kern w:val="44"/>
          <w:sz w:val="32"/>
          <w:highlight w:val="none"/>
        </w:rPr>
        <w:t>）</w:t>
      </w:r>
      <w:r>
        <w:rPr>
          <w:rFonts w:hint="default" w:ascii="Times New Roman" w:hAnsi="Times New Roman" w:eastAsia="楷体_GB2312" w:cs="Times New Roman"/>
          <w:b/>
          <w:color w:val="000000"/>
          <w:kern w:val="44"/>
          <w:sz w:val="32"/>
          <w:highlight w:val="none"/>
          <w:lang w:eastAsia="zh-CN"/>
        </w:rPr>
        <w:t>自评结论综述</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color="auto" w:fill="auto"/>
          <w:lang w:val="en-US" w:eastAsia="zh-CN"/>
        </w:rPr>
      </w:pPr>
      <w:r>
        <w:rPr>
          <w:rFonts w:hint="default" w:ascii="Times New Roman" w:hAnsi="Times New Roman" w:cs="Times New Roman"/>
          <w:bCs w:val="0"/>
          <w:color w:val="000000"/>
          <w:kern w:val="2"/>
          <w:sz w:val="32"/>
          <w:szCs w:val="32"/>
          <w:highlight w:val="none"/>
          <w:lang w:val="en-US" w:eastAsia="zh-CN" w:bidi="ar-SA"/>
        </w:rPr>
        <w:t>2022年</w:t>
      </w:r>
      <w:r>
        <w:rPr>
          <w:rFonts w:hint="eastAsia" w:ascii="Times New Roman" w:hAnsi="Times New Roman" w:cs="Times New Roman"/>
          <w:bCs w:val="0"/>
          <w:color w:val="000000"/>
          <w:kern w:val="2"/>
          <w:sz w:val="32"/>
          <w:szCs w:val="32"/>
          <w:highlight w:val="none"/>
          <w:lang w:val="en-US" w:eastAsia="zh-CN" w:bidi="ar-SA"/>
        </w:rPr>
        <w:t>，</w:t>
      </w:r>
      <w:r>
        <w:rPr>
          <w:rFonts w:hint="default" w:ascii="Times New Roman" w:hAnsi="Times New Roman" w:cs="Times New Roman"/>
          <w:bCs w:val="0"/>
          <w:color w:val="000000"/>
          <w:kern w:val="2"/>
          <w:sz w:val="32"/>
          <w:szCs w:val="32"/>
          <w:highlight w:val="none"/>
          <w:lang w:val="en-US" w:eastAsia="zh-CN" w:bidi="ar-SA"/>
        </w:rPr>
        <w:t>我部</w:t>
      </w:r>
      <w:r>
        <w:rPr>
          <w:rFonts w:hint="default" w:ascii="Times New Roman" w:hAnsi="Times New Roman" w:eastAsia="仿宋_GB2312" w:cs="Times New Roman"/>
          <w:i w:val="0"/>
          <w:iCs w:val="0"/>
          <w:caps w:val="0"/>
          <w:color w:val="000000"/>
          <w:spacing w:val="0"/>
          <w:sz w:val="32"/>
          <w:szCs w:val="32"/>
          <w:shd w:val="clear" w:color="auto" w:fill="auto"/>
          <w:lang w:val="en-US" w:eastAsia="zh-CN"/>
        </w:rPr>
        <w:t>坚持以习近平新时代中国特色社会主义思想为指导，深入学习宣传贯彻</w:t>
      </w:r>
      <w:r>
        <w:rPr>
          <w:rFonts w:hint="default" w:ascii="Times New Roman" w:hAnsi="Times New Roman" w:eastAsia="仿宋_GB2312" w:cs="Times New Roman"/>
          <w:sz w:val="32"/>
          <w:szCs w:val="32"/>
          <w:lang w:val="en-US" w:eastAsia="zh-CN"/>
        </w:rPr>
        <w:t>党的十九届历次全会精神</w:t>
      </w:r>
      <w:r>
        <w:rPr>
          <w:rFonts w:hint="default" w:ascii="Times New Roman" w:hAnsi="Times New Roman" w:eastAsia="仿宋_GB2312" w:cs="Times New Roman"/>
          <w:i w:val="0"/>
          <w:iCs w:val="0"/>
          <w:caps w:val="0"/>
          <w:color w:val="000000"/>
          <w:spacing w:val="0"/>
          <w:sz w:val="32"/>
          <w:szCs w:val="32"/>
          <w:shd w:val="clear" w:color="auto" w:fill="auto"/>
          <w:lang w:val="en-US"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auto"/>
          <w:lang w:val="en-US" w:eastAsia="zh-CN"/>
        </w:rPr>
        <w:t>围绕</w:t>
      </w:r>
      <w:r>
        <w:rPr>
          <w:rFonts w:hint="default" w:ascii="Times New Roman" w:hAnsi="Times New Roman" w:eastAsia="仿宋_GB2312" w:cs="Times New Roman"/>
          <w:sz w:val="32"/>
          <w:szCs w:val="32"/>
          <w:highlight w:val="none"/>
        </w:rPr>
        <w:t>迎接、宣传、贯彻党的二十大工作主线</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i w:val="0"/>
          <w:iCs w:val="0"/>
          <w:caps w:val="0"/>
          <w:color w:val="000000"/>
          <w:spacing w:val="0"/>
          <w:sz w:val="32"/>
          <w:szCs w:val="32"/>
          <w:highlight w:val="none"/>
          <w:shd w:val="clear" w:color="auto" w:fill="auto"/>
          <w:lang w:val="en-US" w:eastAsia="zh-CN"/>
        </w:rPr>
        <w:t>围绕</w:t>
      </w:r>
      <w:r>
        <w:rPr>
          <w:rFonts w:hint="default" w:ascii="Times New Roman" w:hAnsi="Times New Roman" w:eastAsia="仿宋_GB2312" w:cs="Times New Roman"/>
          <w:i w:val="0"/>
          <w:iCs w:val="0"/>
          <w:caps w:val="0"/>
          <w:color w:val="000000"/>
          <w:spacing w:val="0"/>
          <w:sz w:val="32"/>
          <w:szCs w:val="32"/>
          <w:shd w:val="clear" w:color="auto" w:fill="auto"/>
          <w:lang w:val="en-US" w:eastAsia="zh-CN"/>
        </w:rPr>
        <w:t>全区中心工作，自觉承担起举旗帜、聚民心、育新人、兴文化、展形象的使命任务，坚持稳中求进、守正创新，推动宣传思想文化各项工作不断开创新局面，为全区高质量发展提供坚强思想保证和强大精神力量。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textAlignment w:val="auto"/>
        <w:outlineLvl w:val="9"/>
        <w:rPr>
          <w:rFonts w:hint="default" w:ascii="Times New Roman" w:hAnsi="Times New Roman" w:eastAsia="楷体_GB2312" w:cs="Times New Roman"/>
          <w:b/>
          <w:bCs/>
          <w:color w:val="000000"/>
          <w:kern w:val="44"/>
          <w:sz w:val="32"/>
          <w:highlight w:val="none"/>
        </w:rPr>
      </w:pPr>
      <w:r>
        <w:rPr>
          <w:rFonts w:hint="default" w:ascii="Times New Roman" w:hAnsi="Times New Roman" w:eastAsia="楷体_GB2312" w:cs="Times New Roman"/>
          <w:b/>
          <w:bCs/>
          <w:color w:val="000000"/>
          <w:kern w:val="44"/>
          <w:sz w:val="32"/>
          <w:highlight w:val="none"/>
        </w:rPr>
        <w:t>（</w:t>
      </w:r>
      <w:r>
        <w:rPr>
          <w:rFonts w:hint="default" w:ascii="Times New Roman" w:hAnsi="Times New Roman" w:eastAsia="楷体_GB2312" w:cs="Times New Roman"/>
          <w:b/>
          <w:bCs/>
          <w:color w:val="000000"/>
          <w:kern w:val="44"/>
          <w:sz w:val="32"/>
          <w:highlight w:val="none"/>
          <w:lang w:eastAsia="zh-CN"/>
        </w:rPr>
        <w:t>二</w:t>
      </w:r>
      <w:r>
        <w:rPr>
          <w:rFonts w:hint="default" w:ascii="Times New Roman" w:hAnsi="Times New Roman" w:eastAsia="楷体_GB2312" w:cs="Times New Roman"/>
          <w:b/>
          <w:bCs/>
          <w:color w:val="000000"/>
          <w:kern w:val="44"/>
          <w:sz w:val="32"/>
          <w:highlight w:val="none"/>
        </w:rPr>
        <w:t>）各项</w:t>
      </w:r>
      <w:r>
        <w:rPr>
          <w:rFonts w:hint="default" w:ascii="Times New Roman" w:hAnsi="Times New Roman" w:eastAsia="楷体_GB2312" w:cs="Times New Roman"/>
          <w:b/>
          <w:bCs/>
          <w:color w:val="000000"/>
          <w:kern w:val="44"/>
          <w:sz w:val="32"/>
          <w:highlight w:val="none"/>
          <w:lang w:eastAsia="zh-CN"/>
        </w:rPr>
        <w:t>工作任务</w:t>
      </w:r>
      <w:r>
        <w:rPr>
          <w:rFonts w:hint="default" w:ascii="Times New Roman" w:hAnsi="Times New Roman" w:eastAsia="楷体_GB2312" w:cs="Times New Roman"/>
          <w:b/>
          <w:bCs/>
          <w:color w:val="000000"/>
          <w:kern w:val="44"/>
          <w:sz w:val="32"/>
          <w:highlight w:val="none"/>
        </w:rPr>
        <w:t>绩效目标完成情况分析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default" w:ascii="Times New Roman" w:hAnsi="Times New Roman" w:eastAsia="仿宋_GB2312" w:cs="Times New Roman"/>
          <w:b w:val="0"/>
          <w:bCs w:val="0"/>
          <w:color w:val="auto"/>
          <w:kern w:val="0"/>
          <w:sz w:val="32"/>
          <w:szCs w:val="32"/>
          <w:highlight w:val="none"/>
          <w:u w:val="none"/>
          <w:lang w:val="en-US" w:eastAsia="zh-CN"/>
        </w:rPr>
      </w:pPr>
      <w:r>
        <w:rPr>
          <w:rFonts w:hint="default" w:ascii="Times New Roman" w:hAnsi="Times New Roman" w:eastAsia="仿宋_GB2312" w:cs="Times New Roman"/>
          <w:b w:val="0"/>
          <w:bCs w:val="0"/>
          <w:color w:val="auto"/>
          <w:kern w:val="0"/>
          <w:sz w:val="32"/>
          <w:szCs w:val="32"/>
          <w:highlight w:val="none"/>
          <w:u w:val="none"/>
          <w:lang w:val="en-US" w:eastAsia="zh-CN"/>
        </w:rPr>
        <w:t>2022年，我部各项工作任务均已达既定绩效目标，年中无调整。</w:t>
      </w:r>
    </w:p>
    <w:p>
      <w:pPr>
        <w:numPr>
          <w:ilvl w:val="-1"/>
          <w:numId w:val="0"/>
        </w:numPr>
        <w:spacing w:line="600" w:lineRule="exact"/>
        <w:ind w:firstLine="643" w:firstLineChars="200"/>
        <w:outlineLvl w:val="9"/>
        <w:rPr>
          <w:rFonts w:hint="default" w:ascii="Times New Roman" w:hAnsi="Times New Roman" w:cs="Times New Roman"/>
          <w:color w:val="auto"/>
          <w:szCs w:val="32"/>
          <w:u w:val="none"/>
        </w:rPr>
      </w:pPr>
      <w:r>
        <w:rPr>
          <w:rFonts w:hint="default" w:ascii="Times New Roman" w:hAnsi="Times New Roman" w:eastAsia="楷体_GB2312" w:cs="Times New Roman"/>
          <w:b/>
          <w:bCs/>
          <w:color w:val="000000"/>
          <w:kern w:val="44"/>
          <w:sz w:val="32"/>
          <w:highlight w:val="none"/>
          <w:lang w:eastAsia="zh-CN"/>
        </w:rPr>
        <w:t>（三）</w:t>
      </w:r>
      <w:r>
        <w:rPr>
          <w:rFonts w:hint="default" w:ascii="Times New Roman" w:hAnsi="Times New Roman" w:eastAsia="楷体_GB2312" w:cs="Times New Roman"/>
          <w:b/>
          <w:bCs/>
          <w:color w:val="000000"/>
          <w:kern w:val="44"/>
          <w:sz w:val="32"/>
          <w:highlight w:val="none"/>
        </w:rPr>
        <w:t>各</w:t>
      </w:r>
      <w:r>
        <w:rPr>
          <w:rFonts w:hint="default" w:ascii="Times New Roman" w:hAnsi="Times New Roman" w:eastAsia="楷体_GB2312" w:cs="Times New Roman"/>
          <w:b/>
          <w:bCs/>
          <w:color w:val="000000"/>
          <w:kern w:val="44"/>
          <w:sz w:val="32"/>
          <w:highlight w:val="none"/>
          <w:lang w:eastAsia="zh-CN"/>
        </w:rPr>
        <w:t>重点任务</w:t>
      </w:r>
      <w:r>
        <w:rPr>
          <w:rFonts w:hint="default" w:ascii="Times New Roman" w:hAnsi="Times New Roman" w:eastAsia="楷体_GB2312" w:cs="Times New Roman"/>
          <w:b/>
          <w:bCs/>
          <w:color w:val="000000"/>
          <w:kern w:val="44"/>
          <w:sz w:val="32"/>
          <w:highlight w:val="none"/>
        </w:rPr>
        <w:t>项目支出完成情况分析</w:t>
      </w:r>
    </w:p>
    <w:p>
      <w:pPr>
        <w:spacing w:line="600" w:lineRule="exact"/>
        <w:ind w:firstLine="640" w:firstLineChars="200"/>
        <w:outlineLvl w:val="9"/>
        <w:rPr>
          <w:rFonts w:hint="default" w:ascii="Times New Roman" w:hAnsi="Times New Roman"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rPr>
        <w:t>2022年重点任务项目支出及完成情况如下：</w:t>
      </w:r>
      <w:r>
        <w:rPr>
          <w:rFonts w:hint="default" w:ascii="Times New Roman" w:hAnsi="Times New Roman" w:cs="Times New Roman"/>
          <w:color w:val="auto"/>
          <w:kern w:val="0"/>
          <w:sz w:val="32"/>
          <w:szCs w:val="32"/>
          <w:highlight w:val="none"/>
          <w:u w:val="none"/>
          <w:lang w:val="en-US" w:eastAsia="zh-CN"/>
        </w:rPr>
        <w:t xml:space="preserve">            </w:t>
      </w:r>
    </w:p>
    <w:p>
      <w:pPr>
        <w:spacing w:line="600" w:lineRule="exact"/>
        <w:ind w:firstLine="640" w:firstLineChars="200"/>
        <w:outlineLvl w:val="9"/>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cs="Times New Roman"/>
          <w:sz w:val="32"/>
          <w:szCs w:val="32"/>
          <w:lang w:val="en-US" w:eastAsia="zh-CN"/>
        </w:rPr>
        <w:t>1.</w:t>
      </w:r>
      <w:r>
        <w:rPr>
          <w:rFonts w:hint="default" w:ascii="Times New Roman" w:hAnsi="Times New Roman" w:eastAsia="仿宋_GB2312" w:cs="Times New Roman"/>
          <w:sz w:val="32"/>
          <w:szCs w:val="32"/>
          <w:lang w:eastAsia="zh-CN"/>
        </w:rPr>
        <w:t>游戏产业年会</w:t>
      </w:r>
      <w:r>
        <w:rPr>
          <w:rFonts w:hint="default" w:ascii="Times New Roman" w:hAnsi="Times New Roman" w:eastAsia="仿宋_GB2312" w:cs="Times New Roman"/>
          <w:sz w:val="32"/>
          <w:szCs w:val="32"/>
        </w:rPr>
        <w:t>项目：全年预算数为</w:t>
      </w:r>
      <w:r>
        <w:rPr>
          <w:rFonts w:hint="default" w:ascii="Times New Roman" w:hAnsi="Times New Roman" w:eastAsia="仿宋_GB2312" w:cs="Times New Roman"/>
          <w:sz w:val="32"/>
          <w:szCs w:val="32"/>
          <w:lang w:val="en-US" w:eastAsia="zh-CN"/>
        </w:rPr>
        <w:t>600</w:t>
      </w:r>
      <w:r>
        <w:rPr>
          <w:rFonts w:hint="default" w:ascii="Times New Roman" w:hAnsi="Times New Roman" w:eastAsia="仿宋_GB2312" w:cs="Times New Roman"/>
          <w:sz w:val="32"/>
          <w:szCs w:val="32"/>
        </w:rPr>
        <w:t>万元，执行数为</w:t>
      </w:r>
      <w:r>
        <w:rPr>
          <w:rFonts w:hint="default" w:ascii="Times New Roman" w:hAnsi="Times New Roman" w:eastAsia="仿宋_GB2312" w:cs="Times New Roman"/>
          <w:sz w:val="32"/>
          <w:szCs w:val="32"/>
          <w:lang w:val="en-US" w:eastAsia="zh-CN"/>
        </w:rPr>
        <w:t>600</w:t>
      </w:r>
      <w:r>
        <w:rPr>
          <w:rFonts w:hint="default" w:ascii="Times New Roman" w:hAnsi="Times New Roman" w:eastAsia="仿宋_GB2312" w:cs="Times New Roman"/>
          <w:sz w:val="32"/>
          <w:szCs w:val="32"/>
        </w:rPr>
        <w:t>万元，完成预算的</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%。项目绩效目标完成情况与效益主要是：202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年度中国游戏产业年会规模盛大，对游戏行业产生了积极影响，提升了广州市黄埔区、开发区城市文化影响力，推动</w:t>
      </w:r>
      <w:r>
        <w:rPr>
          <w:rFonts w:hint="default" w:ascii="Times New Roman" w:hAnsi="Times New Roman" w:eastAsia="仿宋_GB2312" w:cs="Times New Roman"/>
          <w:color w:val="auto"/>
          <w:kern w:val="0"/>
          <w:sz w:val="32"/>
          <w:szCs w:val="32"/>
          <w:highlight w:val="none"/>
          <w:u w:val="none"/>
        </w:rPr>
        <w:t>了游戏行业高质量发展，</w:t>
      </w:r>
      <w:r>
        <w:rPr>
          <w:rFonts w:hint="default" w:ascii="Times New Roman" w:hAnsi="Times New Roman" w:eastAsia="仿宋_GB2312" w:cs="Times New Roman"/>
          <w:color w:val="auto"/>
          <w:kern w:val="0"/>
          <w:sz w:val="32"/>
          <w:szCs w:val="32"/>
          <w:highlight w:val="none"/>
          <w:u w:val="none"/>
          <w:lang w:eastAsia="zh-CN"/>
        </w:rPr>
        <w:t>助力广州打造“动漫游戏产业之都”。</w:t>
      </w:r>
    </w:p>
    <w:p>
      <w:pPr>
        <w:widowControl/>
        <w:ind w:firstLine="640" w:firstLineChars="200"/>
        <w:jc w:val="left"/>
        <w:rPr>
          <w:rFonts w:hint="default" w:ascii="Times New Roman" w:hAnsi="Times New Roman" w:cs="Times New Roman"/>
          <w:color w:val="auto"/>
          <w:kern w:val="0"/>
          <w:szCs w:val="32"/>
          <w:highlight w:val="none"/>
          <w:u w:val="none"/>
          <w:lang w:eastAsia="zh-CN"/>
        </w:rPr>
      </w:pPr>
      <w:r>
        <w:rPr>
          <w:rFonts w:hint="default" w:ascii="Times New Roman" w:hAnsi="Times New Roman" w:cs="Times New Roman"/>
          <w:color w:val="auto"/>
          <w:kern w:val="0"/>
          <w:szCs w:val="32"/>
          <w:highlight w:val="none"/>
          <w:u w:val="none"/>
          <w:lang w:val="en-US" w:eastAsia="zh-CN"/>
        </w:rPr>
        <w:t>2.</w:t>
      </w:r>
      <w:r>
        <w:rPr>
          <w:rFonts w:hint="default" w:ascii="Times New Roman" w:hAnsi="Times New Roman" w:eastAsia="仿宋_GB2312" w:cs="Times New Roman"/>
          <w:sz w:val="32"/>
          <w:szCs w:val="32"/>
          <w:lang w:eastAsia="zh-CN"/>
        </w:rPr>
        <w:t>报纸杂志电视业务经费</w:t>
      </w:r>
      <w:r>
        <w:rPr>
          <w:rFonts w:hint="default" w:ascii="Times New Roman" w:hAnsi="Times New Roman" w:eastAsia="仿宋_GB2312" w:cs="Times New Roman"/>
          <w:sz w:val="32"/>
          <w:szCs w:val="32"/>
        </w:rPr>
        <w:t>项目：全年预算数为</w:t>
      </w:r>
      <w:r>
        <w:rPr>
          <w:rFonts w:hint="default" w:ascii="Times New Roman" w:hAnsi="Times New Roman" w:eastAsia="仿宋_GB2312" w:cs="Times New Roman"/>
          <w:sz w:val="32"/>
          <w:szCs w:val="32"/>
          <w:lang w:val="en-US" w:eastAsia="zh-CN"/>
        </w:rPr>
        <w:t>708.32</w:t>
      </w:r>
      <w:r>
        <w:rPr>
          <w:rFonts w:hint="default" w:ascii="Times New Roman" w:hAnsi="Times New Roman" w:eastAsia="仿宋_GB2312" w:cs="Times New Roman"/>
          <w:sz w:val="32"/>
          <w:szCs w:val="32"/>
        </w:rPr>
        <w:t>万元，执行数为</w:t>
      </w:r>
      <w:r>
        <w:rPr>
          <w:rFonts w:hint="default" w:ascii="Times New Roman" w:hAnsi="Times New Roman" w:eastAsia="仿宋_GB2312" w:cs="Times New Roman"/>
          <w:sz w:val="32"/>
          <w:szCs w:val="32"/>
          <w:lang w:val="en-US" w:eastAsia="zh-CN"/>
        </w:rPr>
        <w:t>706.49</w:t>
      </w:r>
      <w:r>
        <w:rPr>
          <w:rFonts w:hint="default" w:ascii="Times New Roman" w:hAnsi="Times New Roman" w:eastAsia="仿宋_GB2312" w:cs="Times New Roman"/>
          <w:sz w:val="32"/>
          <w:szCs w:val="32"/>
        </w:rPr>
        <w:t>万元，完成预算的</w:t>
      </w:r>
      <w:r>
        <w:rPr>
          <w:rFonts w:hint="default" w:ascii="Times New Roman" w:hAnsi="Times New Roman" w:eastAsia="仿宋_GB2312" w:cs="Times New Roman"/>
          <w:sz w:val="32"/>
          <w:szCs w:val="32"/>
          <w:lang w:val="en-US" w:eastAsia="zh-CN"/>
        </w:rPr>
        <w:t>99.97</w:t>
      </w:r>
      <w:r>
        <w:rPr>
          <w:rFonts w:hint="default" w:ascii="Times New Roman" w:hAnsi="Times New Roman" w:eastAsia="仿宋_GB2312" w:cs="Times New Roman"/>
          <w:sz w:val="32"/>
          <w:szCs w:val="32"/>
        </w:rPr>
        <w:t>%。项目绩效目标完成情况与效益主要是：</w:t>
      </w:r>
      <w:r>
        <w:rPr>
          <w:rFonts w:hint="default" w:ascii="Times New Roman" w:hAnsi="Times New Roman" w:eastAsia="仿宋_GB2312" w:cs="Times New Roman"/>
          <w:sz w:val="32"/>
          <w:szCs w:val="32"/>
          <w:shd w:val="clear" w:color="auto" w:fill="auto"/>
          <w:lang w:val="en-US" w:eastAsia="zh-CN"/>
        </w:rPr>
        <w:t>2022年广州市黄埔区融媒体中心坚持以习近平新时代中国特色社会主义思想为指导，深入贯彻习近平总书记关于推动媒体融合向纵深发展的重要讲话精神，围绕迎接、宣传、贯彻党的二十大工作主线，聚焦全区中心工作，主动担当主流舆论阵地、综合服务平台、社区信息枢纽职能，努力建设“代表湾区水准的全国一流融媒标杆”。</w:t>
      </w:r>
    </w:p>
    <w:p>
      <w:pPr>
        <w:numPr>
          <w:ilvl w:val="-1"/>
          <w:numId w:val="0"/>
        </w:numPr>
        <w:spacing w:line="600" w:lineRule="exact"/>
        <w:ind w:firstLine="643" w:firstLineChars="200"/>
        <w:outlineLvl w:val="9"/>
        <w:rPr>
          <w:rFonts w:hint="default" w:ascii="Times New Roman" w:hAnsi="Times New Roman" w:cs="Times New Roman"/>
          <w:color w:val="auto"/>
          <w:szCs w:val="32"/>
          <w:u w:val="none"/>
          <w:lang w:val="en-US"/>
        </w:rPr>
      </w:pPr>
      <w:r>
        <w:rPr>
          <w:rFonts w:hint="default" w:ascii="Times New Roman" w:hAnsi="Times New Roman" w:eastAsia="楷体_GB2312" w:cs="Times New Roman"/>
          <w:b/>
          <w:bCs/>
          <w:color w:val="000000"/>
          <w:kern w:val="44"/>
          <w:sz w:val="32"/>
          <w:szCs w:val="24"/>
          <w:highlight w:val="none"/>
          <w:lang w:val="en-US" w:eastAsia="zh-CN" w:bidi="ar-SA"/>
        </w:rPr>
        <w:t>（四）主要工作成效</w:t>
      </w:r>
    </w:p>
    <w:p>
      <w:pPr>
        <w:numPr>
          <w:ilvl w:val="-1"/>
          <w:numId w:val="0"/>
        </w:numPr>
        <w:spacing w:line="600" w:lineRule="exact"/>
        <w:ind w:firstLine="640" w:firstLineChars="200"/>
        <w:outlineLvl w:val="9"/>
        <w:rPr>
          <w:rFonts w:hint="default" w:ascii="Times New Roman" w:hAnsi="Times New Roman" w:cs="Times New Roman"/>
          <w:color w:val="auto"/>
          <w:szCs w:val="32"/>
          <w:u w:val="none"/>
          <w:lang w:val="en-US"/>
        </w:rPr>
      </w:pPr>
      <w:r>
        <w:rPr>
          <w:rFonts w:hint="default" w:ascii="Times New Roman" w:hAnsi="Times New Roman" w:eastAsia="仿宋_GB2312" w:cs="Times New Roman"/>
          <w:sz w:val="32"/>
          <w:szCs w:val="32"/>
        </w:rPr>
        <w:t>2022 年，我部紧扣迎接、宣传、贯彻党的二十大工作主线， 集中财力资源，统筹做好理论</w:t>
      </w:r>
      <w:r>
        <w:rPr>
          <w:rFonts w:hint="default" w:ascii="Times New Roman" w:hAnsi="Times New Roman" w:cs="Times New Roman"/>
          <w:sz w:val="32"/>
          <w:szCs w:val="32"/>
          <w:lang w:eastAsia="zh-CN"/>
        </w:rPr>
        <w:t>宣传、</w:t>
      </w:r>
      <w:r>
        <w:rPr>
          <w:rFonts w:hint="default" w:ascii="Times New Roman" w:hAnsi="Times New Roman" w:eastAsia="仿宋_GB2312" w:cs="Times New Roman"/>
          <w:sz w:val="32"/>
          <w:szCs w:val="32"/>
        </w:rPr>
        <w:t>新闻出版、文化文艺、精神文明创建、国际</w:t>
      </w:r>
      <w:r>
        <w:rPr>
          <w:rFonts w:hint="default" w:ascii="Times New Roman" w:hAnsi="Times New Roman" w:eastAsia="仿宋_GB2312" w:cs="Times New Roman"/>
          <w:color w:val="auto"/>
          <w:sz w:val="32"/>
          <w:szCs w:val="32"/>
          <w:u w:val="none"/>
        </w:rPr>
        <w:t>传播等各项工作，做大做强主题宣传、经济宣传、社会宣传、对外宣传</w:t>
      </w:r>
      <w:r>
        <w:rPr>
          <w:rFonts w:hint="default" w:ascii="Times New Roman" w:hAnsi="Times New Roman"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创造新业绩、展现新气象，各项宣传思想工作均取得较好成效</w:t>
      </w:r>
      <w:r>
        <w:rPr>
          <w:rFonts w:hint="default" w:ascii="Times New Roman" w:hAnsi="Times New Roman" w:cs="Times New Roman"/>
          <w:color w:val="auto"/>
          <w:sz w:val="32"/>
          <w:szCs w:val="32"/>
          <w:u w:val="none"/>
          <w:lang w:eastAsia="zh-CN"/>
        </w:rPr>
        <w:t>。</w:t>
      </w:r>
    </w:p>
    <w:p>
      <w:pPr>
        <w:pStyle w:val="8"/>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40"/>
        <w:textAlignment w:val="auto"/>
        <w:outlineLvl w:val="9"/>
        <w:rPr>
          <w:rFonts w:hint="default" w:ascii="Times New Roman" w:hAnsi="Times New Roman" w:eastAsia="黑体" w:cs="Times New Roman"/>
          <w:b w:val="0"/>
          <w:bCs/>
          <w:color w:val="000000"/>
          <w:sz w:val="32"/>
          <w:szCs w:val="32"/>
          <w:highlight w:val="none"/>
          <w:lang w:val="en-US" w:eastAsia="zh-CN"/>
        </w:rPr>
      </w:pPr>
      <w:bookmarkStart w:id="12" w:name="_Toc26210"/>
      <w:bookmarkStart w:id="13" w:name="_Toc21266"/>
      <w:bookmarkStart w:id="14" w:name="_Toc696"/>
      <w:bookmarkStart w:id="15" w:name="_Toc10735"/>
      <w:r>
        <w:rPr>
          <w:rFonts w:hint="default" w:ascii="Times New Roman" w:hAnsi="Times New Roman" w:cs="Times New Roman"/>
          <w:bCs/>
          <w:color w:val="000000"/>
          <w:kern w:val="28"/>
          <w:sz w:val="32"/>
          <w:szCs w:val="32"/>
          <w:highlight w:val="none"/>
          <w:lang w:val="en-US" w:eastAsia="zh-CN" w:bidi="ar-SA"/>
        </w:rPr>
        <w:t>三、</w:t>
      </w:r>
      <w:r>
        <w:rPr>
          <w:rFonts w:hint="default" w:ascii="Times New Roman" w:hAnsi="Times New Roman" w:eastAsia="黑体" w:cs="Times New Roman"/>
          <w:bCs/>
          <w:color w:val="000000"/>
          <w:kern w:val="28"/>
          <w:sz w:val="32"/>
          <w:szCs w:val="32"/>
          <w:highlight w:val="none"/>
          <w:lang w:val="en-US" w:eastAsia="zh-CN" w:bidi="ar-SA"/>
        </w:rPr>
        <w:t>存在的主要问题</w:t>
      </w:r>
      <w:bookmarkEnd w:id="12"/>
      <w:bookmarkEnd w:id="13"/>
      <w:bookmarkEnd w:id="14"/>
      <w:bookmarkEnd w:id="15"/>
    </w:p>
    <w:p>
      <w:pPr>
        <w:numPr>
          <w:ilvl w:val="-1"/>
          <w:numId w:val="0"/>
        </w:numPr>
        <w:spacing w:line="600" w:lineRule="exact"/>
        <w:ind w:firstLine="640" w:firstLineChars="200"/>
        <w:outlineLvl w:val="9"/>
        <w:rPr>
          <w:rFonts w:hint="default" w:ascii="Times New Roman" w:hAnsi="Times New Roman" w:cs="Times New Roman"/>
          <w:szCs w:val="32"/>
          <w:lang w:val="en-US"/>
        </w:rPr>
      </w:pPr>
      <w:r>
        <w:rPr>
          <w:rFonts w:hint="default" w:ascii="Times New Roman" w:hAnsi="Times New Roman" w:eastAsia="仿宋_GB2312" w:cs="Times New Roman"/>
          <w:sz w:val="32"/>
          <w:szCs w:val="32"/>
          <w:lang w:eastAsia="zh-CN"/>
        </w:rPr>
        <w:t>一是财务工作与业务工作联系需进一步加强，预算编制需更加贴合实际工作；二是预算执行水平有待进一步提升，小部分项目执行进度偏低</w:t>
      </w:r>
      <w:r>
        <w:rPr>
          <w:rFonts w:hint="default" w:ascii="Times New Roman" w:hAnsi="Times New Roman" w:eastAsia="仿宋_GB2312" w:cs="Times New Roman"/>
          <w:sz w:val="32"/>
          <w:szCs w:val="32"/>
        </w:rPr>
        <w:t>。</w:t>
      </w:r>
    </w:p>
    <w:p>
      <w:pPr>
        <w:pStyle w:val="8"/>
        <w:numPr>
          <w:ilvl w:val="-1"/>
          <w:numId w:val="0"/>
        </w:numPr>
        <w:ind w:firstLine="640" w:firstLineChars="200"/>
        <w:rPr>
          <w:rFonts w:hint="default" w:ascii="Times New Roman" w:hAnsi="Times New Roman" w:cs="Times New Roman"/>
          <w:color w:val="000000"/>
          <w:sz w:val="32"/>
          <w:szCs w:val="32"/>
          <w:highlight w:val="none"/>
          <w:lang w:val="en-US"/>
        </w:rPr>
      </w:pPr>
      <w:r>
        <w:rPr>
          <w:rFonts w:hint="default" w:ascii="Times New Roman" w:hAnsi="Times New Roman" w:cs="Times New Roman"/>
          <w:color w:val="000000"/>
          <w:sz w:val="32"/>
          <w:highlight w:val="none"/>
          <w:lang w:eastAsia="zh-CN"/>
        </w:rPr>
        <w:t>四、</w:t>
      </w:r>
      <w:r>
        <w:rPr>
          <w:rFonts w:hint="default" w:ascii="Times New Roman" w:hAnsi="Times New Roman" w:eastAsia="黑体" w:cs="Times New Roman"/>
          <w:color w:val="000000"/>
          <w:sz w:val="32"/>
          <w:highlight w:val="none"/>
          <w:lang w:eastAsia="zh-CN"/>
        </w:rPr>
        <w:t>下一步</w:t>
      </w:r>
      <w:r>
        <w:rPr>
          <w:rFonts w:hint="default" w:ascii="Times New Roman" w:hAnsi="Times New Roman" w:eastAsia="黑体" w:cs="Times New Roman"/>
          <w:color w:val="000000"/>
          <w:sz w:val="32"/>
          <w:highlight w:val="none"/>
        </w:rPr>
        <w:t>改进</w:t>
      </w:r>
      <w:r>
        <w:rPr>
          <w:rFonts w:hint="default" w:ascii="Times New Roman" w:hAnsi="Times New Roman" w:eastAsia="黑体" w:cs="Times New Roman"/>
          <w:color w:val="000000"/>
          <w:sz w:val="32"/>
          <w:highlight w:val="none"/>
          <w:lang w:eastAsia="zh-CN"/>
        </w:rPr>
        <w:t>措施</w:t>
      </w:r>
    </w:p>
    <w:p>
      <w:pPr>
        <w:numPr>
          <w:ilvl w:val="-1"/>
          <w:numId w:val="0"/>
        </w:numPr>
        <w:spacing w:line="600" w:lineRule="exact"/>
        <w:ind w:firstLine="640" w:firstLineChars="200"/>
        <w:outlineLvl w:val="9"/>
        <w:rPr>
          <w:rFonts w:hint="default" w:ascii="Times New Roman" w:hAnsi="Times New Roman" w:cs="Times New Roman"/>
          <w:szCs w:val="32"/>
          <w:lang w:val="en-US"/>
        </w:rPr>
      </w:pPr>
      <w:r>
        <w:rPr>
          <w:rFonts w:hint="default" w:ascii="Times New Roman" w:hAnsi="Times New Roman" w:eastAsia="仿宋_GB2312" w:cs="Times New Roman"/>
          <w:sz w:val="32"/>
          <w:szCs w:val="32"/>
          <w:lang w:eastAsia="zh-CN"/>
        </w:rPr>
        <w:t>一是</w:t>
      </w:r>
      <w:r>
        <w:rPr>
          <w:rFonts w:hint="default" w:ascii="Times New Roman" w:hAnsi="Times New Roman" w:cs="Times New Roman"/>
          <w:sz w:val="32"/>
          <w:szCs w:val="32"/>
          <w:lang w:eastAsia="zh-CN"/>
        </w:rPr>
        <w:t>加强部门间沟通合作，</w:t>
      </w:r>
      <w:r>
        <w:rPr>
          <w:rFonts w:hint="default" w:ascii="Times New Roman" w:hAnsi="Times New Roman" w:eastAsia="仿宋_GB2312" w:cs="Times New Roman"/>
          <w:sz w:val="32"/>
          <w:szCs w:val="32"/>
          <w:lang w:eastAsia="zh-CN"/>
        </w:rPr>
        <w:t>从源头抓好预算编制，严格落实预算编制；二是严格落实过紧日子的要求，进一步提高预算执行管理精细化水平</w:t>
      </w:r>
      <w:r>
        <w:rPr>
          <w:rFonts w:hint="default" w:ascii="Times New Roman" w:hAnsi="Times New Roman" w:eastAsia="仿宋_GB2312" w:cs="Times New Roman"/>
          <w:sz w:val="32"/>
          <w:szCs w:val="32"/>
        </w:rPr>
        <w:t>。</w:t>
      </w:r>
    </w:p>
    <w:p>
      <w:pPr>
        <w:ind w:firstLine="0" w:firstLineChars="0"/>
        <w:rPr>
          <w:rFonts w:ascii="Times New Roman" w:hAnsi="Times New Roman" w:cs="Times New Roman"/>
          <w:highlight w:val="none"/>
        </w:rPr>
      </w:pPr>
    </w:p>
    <w:sectPr>
      <w:footerReference r:id="rId5" w:type="default"/>
      <w:pgSz w:w="11906" w:h="16838"/>
      <w:pgMar w:top="2098" w:right="1587" w:bottom="1984" w:left="1587"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2AF64E"/>
    <w:multiLevelType w:val="singleLevel"/>
    <w:tmpl w:val="3E2AF64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bordersDoNotSurroundHeader w:val="0"/>
  <w:bordersDoNotSurroundFooter w:val="0"/>
  <w:trackRevisions w:val="1"/>
  <w:documentProtection w:edit="comments"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0.14.160.8/newoa/missive/kinggridOfficeServer.do?method=officeProcess"/>
  </w:docVars>
  <w:rsids>
    <w:rsidRoot w:val="2B984800"/>
    <w:rsid w:val="04BF1304"/>
    <w:rsid w:val="0D171B07"/>
    <w:rsid w:val="0D83708F"/>
    <w:rsid w:val="15455599"/>
    <w:rsid w:val="15E14DEE"/>
    <w:rsid w:val="1FE114A0"/>
    <w:rsid w:val="268044A6"/>
    <w:rsid w:val="286D1121"/>
    <w:rsid w:val="2B984800"/>
    <w:rsid w:val="2E510CFA"/>
    <w:rsid w:val="313F33E6"/>
    <w:rsid w:val="32AA191B"/>
    <w:rsid w:val="37F774ED"/>
    <w:rsid w:val="38125513"/>
    <w:rsid w:val="3F6E7A6B"/>
    <w:rsid w:val="3F92579A"/>
    <w:rsid w:val="43797CE2"/>
    <w:rsid w:val="482D2EEE"/>
    <w:rsid w:val="4BBE6DBA"/>
    <w:rsid w:val="50911140"/>
    <w:rsid w:val="53322C60"/>
    <w:rsid w:val="53577BE9"/>
    <w:rsid w:val="57257BF9"/>
    <w:rsid w:val="59AD6EC1"/>
    <w:rsid w:val="5ABA5A3D"/>
    <w:rsid w:val="5B9E55DE"/>
    <w:rsid w:val="5C346840"/>
    <w:rsid w:val="690579AC"/>
    <w:rsid w:val="69FF9322"/>
    <w:rsid w:val="6AF797CC"/>
    <w:rsid w:val="6E3AC4B7"/>
    <w:rsid w:val="6FA27465"/>
    <w:rsid w:val="7AEC85AA"/>
    <w:rsid w:val="7CB4EA9D"/>
    <w:rsid w:val="7F574D32"/>
    <w:rsid w:val="B7BF0230"/>
    <w:rsid w:val="BF344251"/>
    <w:rsid w:val="CBC7E0B2"/>
    <w:rsid w:val="CFF906F7"/>
    <w:rsid w:val="D76DEAAD"/>
    <w:rsid w:val="EEEFBB1A"/>
    <w:rsid w:val="FFCFF427"/>
    <w:rsid w:val="FFFF54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3" w:firstLineChars="20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1"/>
    <w:pPr>
      <w:ind w:left="0"/>
      <w:outlineLvl w:val="0"/>
    </w:pPr>
    <w:rPr>
      <w:rFonts w:ascii="Times New Roman" w:hAnsi="Times New Roman" w:eastAsia="黑体" w:cs="Microsoft JhengHei"/>
      <w:bCs/>
      <w:szCs w:val="32"/>
      <w:lang w:val="zh-CN" w:bidi="zh-CN"/>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 Text First Indent 21"/>
    <w:next w:val="3"/>
    <w:qFormat/>
    <w:uiPriority w:val="0"/>
    <w:pPr>
      <w:widowControl w:val="0"/>
      <w:shd w:val="clear" w:color="auto" w:fill="FFFFFF"/>
      <w:spacing w:before="420" w:after="1500" w:line="240" w:lineRule="atLeast"/>
      <w:ind w:firstLine="640" w:firstLineChars="200"/>
      <w:jc w:val="center"/>
    </w:pPr>
    <w:rPr>
      <w:rFonts w:ascii="Times New Roman" w:hAnsi="Times New Roman" w:eastAsia="仿宋_GB2312" w:cs="仿宋"/>
      <w:color w:val="000000"/>
      <w:sz w:val="32"/>
      <w:szCs w:val="28"/>
      <w:lang w:val="en-US" w:eastAsia="zh-CN" w:bidi="ar-SA"/>
    </w:rPr>
  </w:style>
  <w:style w:type="paragraph" w:customStyle="1" w:styleId="3">
    <w:name w:val="Normal Indent1"/>
    <w:qFormat/>
    <w:uiPriority w:val="0"/>
    <w:pPr>
      <w:widowControl w:val="0"/>
      <w:ind w:firstLine="420" w:firstLineChars="200"/>
      <w:jc w:val="both"/>
    </w:pPr>
    <w:rPr>
      <w:rFonts w:ascii="Times New Roman" w:hAnsi="Times New Roman" w:eastAsia="仿宋_GB2312" w:cs="仿宋"/>
      <w:color w:val="000000"/>
      <w:kern w:val="2"/>
      <w:sz w:val="32"/>
      <w:szCs w:val="32"/>
      <w:lang w:val="en-US" w:eastAsia="zh-CN" w:bidi="ar-SA"/>
    </w:rPr>
  </w:style>
  <w:style w:type="paragraph" w:styleId="5">
    <w:name w:val="Balloon Text"/>
    <w:basedOn w:val="1"/>
    <w:next w:val="1"/>
    <w:semiHidden/>
    <w:unhideWhenUsed/>
    <w:qFormat/>
    <w:uiPriority w:val="99"/>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Subtitle"/>
    <w:basedOn w:val="1"/>
    <w:next w:val="1"/>
    <w:qFormat/>
    <w:uiPriority w:val="0"/>
    <w:pPr>
      <w:ind w:firstLine="200" w:firstLineChars="200"/>
      <w:jc w:val="left"/>
      <w:outlineLvl w:val="2"/>
    </w:pPr>
    <w:rPr>
      <w:rFonts w:ascii="Cambria" w:hAnsi="Cambria" w:eastAsia="黑体"/>
      <w:bCs/>
      <w:kern w:val="28"/>
      <w:sz w:val="28"/>
      <w:szCs w:val="32"/>
    </w:rPr>
  </w:style>
  <w:style w:type="paragraph" w:styleId="9">
    <w:name w:val="toc 2"/>
    <w:basedOn w:val="1"/>
    <w:next w:val="1"/>
    <w:qFormat/>
    <w:uiPriority w:val="0"/>
    <w:pPr>
      <w:ind w:left="420" w:leftChars="200"/>
    </w:pPr>
  </w:style>
  <w:style w:type="paragraph" w:styleId="10">
    <w:name w:val="Normal (Web)"/>
    <w:basedOn w:val="1"/>
    <w:next w:val="5"/>
    <w:qFormat/>
    <w:uiPriority w:val="99"/>
    <w:pPr>
      <w:jc w:val="left"/>
    </w:pPr>
    <w:rPr>
      <w:rFonts w:ascii="Times New Roman" w:hAnsi="Times New Roman" w:eastAsia="仿宋_GB2312" w:cs="Times New Roman"/>
      <w:kern w:val="0"/>
      <w:sz w:val="24"/>
      <w:szCs w:val="24"/>
    </w:rPr>
  </w:style>
  <w:style w:type="character" w:customStyle="1" w:styleId="13">
    <w:name w:val="NormalCharacter"/>
    <w:semiHidden/>
    <w:qFormat/>
    <w:uiPriority w:val="0"/>
  </w:style>
  <w:style w:type="paragraph" w:customStyle="1" w:styleId="14">
    <w:name w:val="正文空2字"/>
    <w:basedOn w:val="15"/>
    <w:qFormat/>
    <w:uiPriority w:val="0"/>
    <w:pPr>
      <w:widowControl w:val="0"/>
      <w:snapToGrid w:val="0"/>
      <w:spacing w:line="560" w:lineRule="exact"/>
      <w:ind w:firstLine="640" w:firstLineChars="200"/>
    </w:pPr>
    <w:rPr>
      <w:rFonts w:ascii="仿宋_GB2312" w:hAnsi="仿宋_GB2312" w:cs="仿宋_GB2312"/>
      <w:lang w:val="zh-TW"/>
    </w:rPr>
  </w:style>
  <w:style w:type="paragraph" w:customStyle="1" w:styleId="15">
    <w:name w:val="左对齐正文"/>
    <w:qFormat/>
    <w:uiPriority w:val="0"/>
    <w:rPr>
      <w:rFonts w:ascii="Calibri" w:hAnsi="Calibri" w:eastAsia="仿宋_GB2312" w:cs="Calibri"/>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248</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2022-02-17T23:50:00Z</dcterms:created>
  <dc:creator>凌海涛</dc:creator>
  <cp:lastModifiedBy>宣传部</cp:lastModifiedBy>
  <cp:lastPrinted>2023-10-18T11:20:00Z</cp:lastPrinted>
  <dcterms:modified xsi:type="dcterms:W3CDTF">2023-11-24T07:18:59Z</dcterms:modified>
  <dc:title>附件2-1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F9F4746BCC06435EB30B8F713875D9AD</vt:lpwstr>
  </property>
</Properties>
</file>