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320" w:firstLineChars="1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黄埔区、广州开发区202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独角兽（潜在独角兽）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>企业名单</w:t>
      </w:r>
    </w:p>
    <w:tbl>
      <w:tblPr>
        <w:tblStyle w:val="6"/>
        <w:tblW w:w="46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356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认定类型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粤芯半导体技术股份有限公司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奥动新能源汽车科技有限公司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广州市艾佛光通科技有限公司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广芯微电子（广州）股份有限公司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广州万协通信息技术有限公司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广东致能科技有限公司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广东星舆科技有限公司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广东巨风半导体有限公司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广东众生睿创生物科技有限公司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广州嘉越医药科技有限公司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广州瑞风生物科技有限公司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露乐健康科技股份有限公司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广州万物集工业互联网科技有限公司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6" w:type="pct"/>
            <w:shd w:val="clear" w:color="auto" w:fill="FFFFFF" w:themeFill="background1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left="425" w:leftChars="0" w:hanging="425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50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广州赛特智能科技有限公司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独角兽企业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C25B1"/>
    <w:multiLevelType w:val="singleLevel"/>
    <w:tmpl w:val="2EEC25B1"/>
    <w:lvl w:ilvl="0" w:tentative="0">
      <w:start w:val="1"/>
      <w:numFmt w:val="decimal"/>
      <w:suff w:val="nothing"/>
      <w:lvlText w:val="%1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TRiNDA4NWYzMDcxZjVjMzY5M2RiN2VhZjEyYzUifQ=="/>
  </w:docVars>
  <w:rsids>
    <w:rsidRoot w:val="2DE879BA"/>
    <w:rsid w:val="2DE879BA"/>
    <w:rsid w:val="3FE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2023-12-26T01:28:00Z</dcterms:created>
  <dc:creator>'bazinga'</dc:creator>
  <cp:lastModifiedBy>'bazinga'</cp:lastModifiedBy>
  <cp:lastPrinted>2023-12-26T01:30:25Z</cp:lastPrinted>
  <dcterms:modified xsi:type="dcterms:W3CDTF">2023-12-26T01:30:31Z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450CDC76BFD84B598070AB80C2C37007_11</vt:lpwstr>
  </property>
</Properties>
</file>