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bCs/>
          <w:sz w:val="36"/>
          <w:szCs w:val="36"/>
        </w:rPr>
      </w:pPr>
      <w:r>
        <w:rPr>
          <w:rFonts w:hint="eastAsia" w:ascii="宋体" w:hAnsi="宋体" w:eastAsia="宋体" w:cs="宋体"/>
          <w:b/>
          <w:bCs/>
          <w:sz w:val="36"/>
          <w:szCs w:val="36"/>
        </w:rPr>
        <w:t>2024年黄埔区迎春花市绿轴广场分会场主牌楼项目招标公告</w:t>
      </w:r>
    </w:p>
    <w:p>
      <w:pPr>
        <w:widowControl/>
        <w:adjustRightInd w:val="0"/>
        <w:snapToGrid w:val="0"/>
        <w:spacing w:line="360" w:lineRule="auto"/>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供应商：</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广州开发区绿化和公园管理中心（广州市黄埔区绿化和公园管理中心）现有采购项目，“</w:t>
      </w:r>
      <w:r>
        <w:rPr>
          <w:rFonts w:hint="eastAsia" w:asciiTheme="minorEastAsia" w:hAnsiTheme="minorEastAsia" w:cstheme="minorEastAsia"/>
          <w:kern w:val="0"/>
          <w:sz w:val="28"/>
          <w:szCs w:val="28"/>
          <w:u w:val="single"/>
        </w:rPr>
        <w:t>2024年黄埔区迎春花市绿轴广场分会场主牌楼项目</w:t>
      </w:r>
      <w:r>
        <w:rPr>
          <w:rFonts w:hint="eastAsia" w:asciiTheme="minorEastAsia" w:hAnsiTheme="minorEastAsia" w:cstheme="minorEastAsia"/>
          <w:kern w:val="0"/>
          <w:sz w:val="28"/>
          <w:szCs w:val="28"/>
        </w:rPr>
        <w:t>”</w:t>
      </w:r>
      <w:r>
        <w:rPr>
          <w:rFonts w:hint="eastAsia" w:ascii="宋体" w:hAnsi="宋体" w:eastAsia="宋体" w:cs="宋体"/>
          <w:kern w:val="0"/>
          <w:sz w:val="28"/>
          <w:szCs w:val="28"/>
        </w:rPr>
        <w:t>，</w:t>
      </w:r>
      <w:r>
        <w:rPr>
          <w:rFonts w:hint="eastAsia" w:asciiTheme="minorEastAsia" w:hAnsiTheme="minorEastAsia" w:cstheme="minorEastAsia"/>
          <w:kern w:val="0"/>
          <w:sz w:val="28"/>
          <w:szCs w:val="28"/>
        </w:rPr>
        <w:t>需进行公开招标确定供应商，请贵单位根据本项目采购需求书，于2024年1月</w:t>
      </w:r>
      <w:r>
        <w:rPr>
          <w:rFonts w:hint="eastAsia" w:asciiTheme="minorEastAsia" w:hAnsiTheme="minorEastAsia" w:cstheme="minorEastAsia"/>
          <w:kern w:val="0"/>
          <w:sz w:val="28"/>
          <w:szCs w:val="28"/>
          <w:lang w:val="en-US" w:eastAsia="zh-CN"/>
        </w:rPr>
        <w:t>16</w:t>
      </w:r>
      <w:r>
        <w:rPr>
          <w:rFonts w:hint="eastAsia" w:asciiTheme="minorEastAsia" w:hAnsiTheme="minorEastAsia" w:cstheme="minorEastAsia"/>
          <w:kern w:val="0"/>
          <w:sz w:val="28"/>
          <w:szCs w:val="28"/>
        </w:rPr>
        <w:t>日下午2：30前将报价资料密封送往广州市黄埔区揽月路101号A座6层广东重工建设监理有限公司左侧会议室，详情请见附件。</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特此公告。</w:t>
      </w:r>
    </w:p>
    <w:p>
      <w:pPr>
        <w:pStyle w:val="2"/>
      </w:pP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附件：2024年黄埔区迎春花市绿轴广场分会场主牌楼项目需求书</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p>
    <w:p>
      <w:pPr>
        <w:spacing w:line="480" w:lineRule="exact"/>
        <w:ind w:firstLine="2738" w:firstLineChars="978"/>
        <w:rPr>
          <w:rFonts w:asciiTheme="minorEastAsia" w:hAnsiTheme="minorEastAsia" w:cstheme="minorEastAsia"/>
          <w:kern w:val="0"/>
          <w:sz w:val="28"/>
          <w:szCs w:val="28"/>
        </w:rPr>
      </w:pPr>
      <w:r>
        <w:rPr>
          <w:rFonts w:hint="eastAsia" w:ascii="仿宋" w:hAnsi="仿宋" w:eastAsia="仿宋" w:cs="仿宋"/>
          <w:sz w:val="28"/>
          <w:szCs w:val="28"/>
        </w:rPr>
        <w:t xml:space="preserve">  </w:t>
      </w:r>
      <w:r>
        <w:rPr>
          <w:rFonts w:hint="eastAsia" w:asciiTheme="minorEastAsia" w:hAnsiTheme="minorEastAsia" w:cstheme="minorEastAsia"/>
          <w:kern w:val="0"/>
          <w:sz w:val="28"/>
          <w:szCs w:val="28"/>
        </w:rPr>
        <w:t>采 购 人：广州开发区绿化和公园管理中心</w:t>
      </w:r>
    </w:p>
    <w:p>
      <w:pPr>
        <w:spacing w:line="480" w:lineRule="exact"/>
        <w:ind w:firstLine="3640" w:firstLineChars="1300"/>
        <w:rPr>
          <w:rFonts w:asciiTheme="minorEastAsia" w:hAnsiTheme="minorEastAsia" w:cstheme="minorEastAsia"/>
          <w:kern w:val="0"/>
          <w:sz w:val="28"/>
          <w:szCs w:val="28"/>
        </w:rPr>
      </w:pPr>
      <w:r>
        <w:rPr>
          <w:rFonts w:hint="eastAsia" w:asciiTheme="minorEastAsia" w:hAnsiTheme="minorEastAsia" w:cstheme="minorEastAsia"/>
          <w:kern w:val="0"/>
          <w:sz w:val="28"/>
          <w:szCs w:val="28"/>
        </w:rPr>
        <w:t>（广州市黄埔区绿化和公园管理中心）</w:t>
      </w:r>
    </w:p>
    <w:p>
      <w:pPr>
        <w:pStyle w:val="9"/>
        <w:ind w:firstLine="3080" w:firstLineChars="1100"/>
      </w:pPr>
      <w:r>
        <w:rPr>
          <w:rFonts w:hint="eastAsia"/>
        </w:rPr>
        <w:t>采购代理机构：广东重工建设监理有限公司</w:t>
      </w:r>
    </w:p>
    <w:p>
      <w:pPr>
        <w:widowControl/>
        <w:adjustRightInd w:val="0"/>
        <w:snapToGrid w:val="0"/>
        <w:spacing w:line="360" w:lineRule="auto"/>
        <w:ind w:firstLine="560" w:firstLineChars="200"/>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发布时间：2024年1月</w:t>
      </w:r>
      <w:r>
        <w:rPr>
          <w:rFonts w:hint="eastAsia" w:asciiTheme="minorEastAsia" w:hAnsiTheme="minorEastAsia" w:cstheme="minorEastAsia"/>
          <w:kern w:val="0"/>
          <w:sz w:val="28"/>
          <w:szCs w:val="28"/>
          <w:lang w:val="en-US" w:eastAsia="zh-CN"/>
        </w:rPr>
        <w:t>9</w:t>
      </w:r>
      <w:r>
        <w:rPr>
          <w:rFonts w:hint="eastAsia" w:asciiTheme="minorEastAsia" w:hAnsiTheme="minorEastAsia" w:cstheme="minorEastAsia"/>
          <w:kern w:val="0"/>
          <w:sz w:val="28"/>
          <w:szCs w:val="28"/>
        </w:rPr>
        <w:t>日</w:t>
      </w: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jc w:val="left"/>
        <w:rPr>
          <w:rFonts w:asciiTheme="minorEastAsia" w:hAnsiTheme="minorEastAsia" w:cstheme="minorEastAsia"/>
          <w:b/>
          <w:sz w:val="30"/>
          <w:szCs w:val="30"/>
        </w:rPr>
      </w:pPr>
      <w:r>
        <w:rPr>
          <w:rFonts w:hint="eastAsia" w:asciiTheme="minorEastAsia" w:hAnsiTheme="minorEastAsia" w:cstheme="minorEastAsia"/>
          <w:b/>
          <w:sz w:val="30"/>
          <w:szCs w:val="30"/>
        </w:rPr>
        <w:t>附件：</w:t>
      </w:r>
    </w:p>
    <w:p>
      <w:pPr>
        <w:adjustRightInd w:val="0"/>
        <w:snapToGrid w:val="0"/>
        <w:spacing w:line="360" w:lineRule="auto"/>
        <w:jc w:val="center"/>
        <w:rPr>
          <w:rFonts w:ascii="宋体" w:hAnsi="宋体" w:eastAsia="宋体" w:cs="宋体"/>
          <w:b/>
          <w:bCs/>
          <w:sz w:val="30"/>
          <w:szCs w:val="30"/>
        </w:rPr>
      </w:pPr>
      <w:r>
        <w:rPr>
          <w:rFonts w:hint="eastAsia" w:ascii="宋体" w:hAnsi="宋体" w:eastAsia="宋体" w:cs="宋体"/>
          <w:b/>
          <w:bCs/>
          <w:sz w:val="30"/>
          <w:szCs w:val="30"/>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-585470</wp:posOffset>
                </wp:positionV>
                <wp:extent cx="273685" cy="93345"/>
                <wp:effectExtent l="0" t="0" r="12065" b="1905"/>
                <wp:wrapNone/>
                <wp:docPr id="1" name="文本框 1"/>
                <wp:cNvGraphicFramePr/>
                <a:graphic xmlns:a="http://schemas.openxmlformats.org/drawingml/2006/main">
                  <a:graphicData uri="http://schemas.microsoft.com/office/word/2010/wordprocessingShape">
                    <wps:wsp>
                      <wps:cNvSpPr txBox="1"/>
                      <wps:spPr>
                        <a:xfrm>
                          <a:off x="0" y="0"/>
                          <a:ext cx="273685" cy="93345"/>
                        </a:xfrm>
                        <a:prstGeom prst="rect">
                          <a:avLst/>
                        </a:prstGeom>
                        <a:solidFill>
                          <a:srgbClr val="FFFFFF"/>
                        </a:solidFill>
                        <a:ln>
                          <a:noFill/>
                        </a:ln>
                      </wps:spPr>
                      <wps:txbx>
                        <w:txbxContent>
                          <w:p>
                            <w:pPr>
                              <w:rPr>
                                <w:rFonts w:ascii="黑体" w:hAnsi="黑体" w:eastAsia="黑体"/>
                              </w:rPr>
                            </w:pPr>
                          </w:p>
                        </w:txbxContent>
                      </wps:txbx>
                      <wps:bodyPr upright="1"/>
                    </wps:wsp>
                  </a:graphicData>
                </a:graphic>
              </wp:anchor>
            </w:drawing>
          </mc:Choice>
          <mc:Fallback>
            <w:pict>
              <v:shape id="_x0000_s1026" o:spid="_x0000_s1026" o:spt="202" type="#_x0000_t202" style="position:absolute;left:0pt;margin-left:-53.3pt;margin-top:-46.1pt;height:7.35pt;width:21.55pt;z-index:251659264;mso-width-relative:page;mso-height-relative:page;" fillcolor="#FFFFFF" filled="t" stroked="f" coordsize="21600,21600" o:gfxdata="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EAyYbZAAAADAEAAA8AAAAAAAAAAQAgAAAAIgAAAGRycy9kb3ducmV2Lnht&#10;bFBLAQIUABQAAAAIAIdO4kD67oCZvwEAAHUDAAAOAAAAAAAAAAEAIAAAACgBAABkcnMvZTJvRG9j&#10;LnhtbFBLBQYAAAAABgAGAFkBAABZBQAAAAA=&#10;">
                <v:fill on="t" focussize="0,0"/>
                <v:stroke on="f"/>
                <v:imagedata o:title=""/>
                <o:lock v:ext="edit" aspectratio="f"/>
                <v:textbox>
                  <w:txbxContent>
                    <w:p>
                      <w:pPr>
                        <w:rPr>
                          <w:rFonts w:ascii="黑体" w:hAnsi="黑体" w:eastAsia="黑体"/>
                        </w:rPr>
                      </w:pPr>
                    </w:p>
                  </w:txbxContent>
                </v:textbox>
              </v:shape>
            </w:pict>
          </mc:Fallback>
        </mc:AlternateContent>
      </w:r>
      <w:r>
        <w:rPr>
          <w:rFonts w:hint="eastAsia" w:ascii="宋体" w:hAnsi="宋体" w:eastAsia="宋体" w:cs="宋体"/>
          <w:b/>
          <w:bCs/>
          <w:sz w:val="30"/>
          <w:szCs w:val="30"/>
        </w:rPr>
        <w:t>2024年黄埔区迎春花市绿轴广场分会场主牌楼项目需求书</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广州开发区绿化和公园管理中心（广州市黄埔区绿化和公园管理中心）</w:t>
      </w:r>
      <w:r>
        <w:rPr>
          <w:rFonts w:hint="eastAsia" w:asciiTheme="minorEastAsia" w:hAnsiTheme="minorEastAsia" w:cstheme="minorEastAsia"/>
          <w:sz w:val="28"/>
          <w:szCs w:val="28"/>
        </w:rPr>
        <w:t>现有采购项目，“</w:t>
      </w:r>
      <w:r>
        <w:rPr>
          <w:rFonts w:hint="eastAsia" w:asciiTheme="minorEastAsia" w:hAnsiTheme="minorEastAsia" w:cstheme="minorEastAsia"/>
          <w:kern w:val="0"/>
          <w:sz w:val="28"/>
          <w:szCs w:val="28"/>
          <w:u w:val="single"/>
        </w:rPr>
        <w:t>2024年黄埔区迎春花市绿轴广场分会场主牌楼项目</w:t>
      </w:r>
      <w:r>
        <w:rPr>
          <w:rFonts w:hint="eastAsia" w:asciiTheme="minorEastAsia" w:hAnsiTheme="minorEastAsia" w:cstheme="minorEastAsia"/>
          <w:sz w:val="28"/>
          <w:szCs w:val="28"/>
        </w:rPr>
        <w:t>”，采取公开招标方式确定中标供应商，欢迎符合资格条件的供应商参加本项目采购事宜。</w:t>
      </w:r>
    </w:p>
    <w:p>
      <w:pPr>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sz w:val="28"/>
          <w:szCs w:val="28"/>
        </w:rPr>
        <w:t>一、项目名称：</w:t>
      </w:r>
      <w:r>
        <w:rPr>
          <w:rFonts w:hint="eastAsia" w:ascii="宋体" w:hAnsi="宋体" w:eastAsia="宋体" w:cs="宋体"/>
          <w:kern w:val="0"/>
          <w:sz w:val="28"/>
          <w:szCs w:val="28"/>
        </w:rPr>
        <w:t xml:space="preserve"> </w:t>
      </w:r>
      <w:r>
        <w:rPr>
          <w:rFonts w:hint="eastAsia" w:asciiTheme="minorEastAsia" w:hAnsiTheme="minorEastAsia" w:cstheme="minorEastAsia"/>
          <w:kern w:val="0"/>
          <w:sz w:val="28"/>
          <w:szCs w:val="28"/>
        </w:rPr>
        <w:t>2024年黄埔区迎春花市绿轴广场分会场主牌楼项目。</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二、</w:t>
      </w:r>
      <w:r>
        <w:rPr>
          <w:rFonts w:hint="eastAsia" w:ascii="宋体" w:hAnsi="宋体" w:eastAsia="宋体" w:cs="宋体"/>
          <w:sz w:val="28"/>
          <w:szCs w:val="28"/>
        </w:rPr>
        <w:t>项目内容：</w:t>
      </w:r>
      <w:r>
        <w:rPr>
          <w:rFonts w:hint="eastAsia" w:asciiTheme="minorEastAsia" w:hAnsiTheme="minorEastAsia" w:cstheme="minorEastAsia"/>
          <w:kern w:val="0"/>
          <w:sz w:val="28"/>
          <w:szCs w:val="28"/>
        </w:rPr>
        <w:t>2024年黄埔区迎春花市绿轴广场分会场主牌楼项目地点在科学城绿轴广场，主牌楼拟设在绿轴广场东侧，以《祥龙送长卷 黄埔耀新年》为主题，牌楼高度约10米（中间内拱门约4米），宽度约30米，整体造型融入生肖龙年及现代感元素，结合简约的线条和艺术造型体现黄埔高质量发展寓意，同时增加灯笼、福字等元素增添喜庆祥和的新春氛围（详见后附主牌楼示意图）。</w:t>
      </w:r>
      <w:r>
        <w:rPr>
          <w:rFonts w:hint="eastAsia" w:ascii="宋体" w:hAnsi="宋体" w:eastAsia="宋体" w:cs="宋体"/>
          <w:sz w:val="28"/>
          <w:szCs w:val="28"/>
        </w:rPr>
        <w:t>本项目</w:t>
      </w:r>
      <w:r>
        <w:rPr>
          <w:rFonts w:hint="eastAsia" w:asciiTheme="minorEastAsia" w:hAnsiTheme="minorEastAsia" w:cstheme="minorEastAsia"/>
          <w:kern w:val="0"/>
          <w:sz w:val="28"/>
          <w:szCs w:val="28"/>
        </w:rPr>
        <w:t>包含但不限于主牌楼方案策划深化、实施组织方案</w:t>
      </w:r>
      <w:r>
        <w:rPr>
          <w:rFonts w:hint="eastAsia" w:ascii="宋体" w:hAnsi="宋体" w:eastAsia="宋体" w:cs="宋体"/>
          <w:sz w:val="28"/>
          <w:szCs w:val="28"/>
        </w:rPr>
        <w:t>、编制项目预算（报价）书、搭建制作安装、2024年2月5日起维护保障至元宵节后、拆除清理运输等内容。</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三、最高限价：95万元（结算价最终以第三方评审机构审定为准）。</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四、供应商资格条件</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1.具有独立承担民事责任能力的企业法人（分公司投标的，须取得具有法人资格总公司的书面授权）；</w:t>
      </w:r>
    </w:p>
    <w:p>
      <w:pPr>
        <w:widowControl/>
        <w:adjustRightInd w:val="0"/>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kern w:val="0"/>
          <w:sz w:val="28"/>
          <w:szCs w:val="28"/>
        </w:rPr>
        <w:t>2.本项目不接受联合体报价；</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sz w:val="28"/>
          <w:szCs w:val="28"/>
        </w:rPr>
        <w:t>3.有同类项目业绩优先考虑</w:t>
      </w:r>
      <w:r>
        <w:rPr>
          <w:rFonts w:hint="eastAsia" w:ascii="宋体" w:hAnsi="宋体" w:eastAsia="宋体" w:cs="宋体"/>
          <w:kern w:val="0"/>
          <w:sz w:val="28"/>
          <w:szCs w:val="28"/>
        </w:rPr>
        <w:t>。</w:t>
      </w:r>
    </w:p>
    <w:p>
      <w:pPr>
        <w:widowControl/>
        <w:adjustRightInd w:val="0"/>
        <w:snapToGrid w:val="0"/>
        <w:spacing w:line="360" w:lineRule="auto"/>
        <w:ind w:firstLine="560" w:firstLineChars="200"/>
        <w:jc w:val="left"/>
      </w:pPr>
      <w:r>
        <w:rPr>
          <w:rFonts w:hint="eastAsia" w:asciiTheme="minorEastAsia" w:hAnsiTheme="minorEastAsia" w:cstheme="minorEastAsia"/>
          <w:kern w:val="0"/>
          <w:sz w:val="28"/>
          <w:szCs w:val="28"/>
        </w:rPr>
        <w:t>4.供应商未被列入“信用中国”网站(</w:t>
      </w:r>
      <w:r>
        <w:fldChar w:fldCharType="begin"/>
      </w:r>
      <w:r>
        <w:instrText xml:space="preserve"> HYPERLINK "http://www.creditchina.gov.cn" </w:instrText>
      </w:r>
      <w:r>
        <w:fldChar w:fldCharType="separate"/>
      </w:r>
      <w:r>
        <w:rPr>
          <w:rStyle w:val="14"/>
          <w:rFonts w:hint="eastAsia" w:asciiTheme="minorEastAsia" w:hAnsiTheme="minorEastAsia" w:eastAsiaTheme="minorEastAsia" w:cstheme="minorEastAsia"/>
          <w:color w:val="auto"/>
          <w:kern w:val="0"/>
          <w:szCs w:val="28"/>
        </w:rPr>
        <w:t>www.creditchina.gov.cn</w:t>
      </w:r>
      <w:r>
        <w:rPr>
          <w:rStyle w:val="14"/>
          <w:rFonts w:hint="eastAsia" w:asciiTheme="minorEastAsia" w:hAnsiTheme="minorEastAsia" w:eastAsiaTheme="minorEastAsia" w:cstheme="minorEastAsia"/>
          <w:color w:val="auto"/>
          <w:kern w:val="0"/>
          <w:szCs w:val="28"/>
        </w:rPr>
        <w:fldChar w:fldCharType="end"/>
      </w:r>
      <w:r>
        <w:rPr>
          <w:rFonts w:hint="eastAsia" w:asciiTheme="minorEastAsia" w:hAnsiTheme="minorEastAsia" w:cstheme="minorEastAsia"/>
          <w:kern w:val="0"/>
          <w:sz w:val="28"/>
          <w:szCs w:val="28"/>
        </w:rPr>
        <w:t>)以下任何记录名单之一：①失信被执行人；②重大税收违法案件当事人名单；③政府采购严重违法失信行为，同时，不处于中国政府采购网(www.ccgp.gov.cn)“政府采购严重违法失信行为信息记录”中的禁止参加政府采购活动期间。</w:t>
      </w:r>
    </w:p>
    <w:p>
      <w:pPr>
        <w:widowControl/>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五、报价时需提供的资料</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1.实施方案、报价书；</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2.营业执照等复印件；</w:t>
      </w:r>
    </w:p>
    <w:p>
      <w:pPr>
        <w:adjustRightInd w:val="0"/>
        <w:snapToGrid w:val="0"/>
        <w:spacing w:line="360" w:lineRule="auto"/>
        <w:ind w:firstLine="560" w:firstLineChars="200"/>
        <w:jc w:val="left"/>
      </w:pPr>
      <w:r>
        <w:rPr>
          <w:rFonts w:hint="eastAsia" w:asciiTheme="minorEastAsia" w:hAnsiTheme="minorEastAsia" w:cstheme="minorEastAsia"/>
          <w:sz w:val="28"/>
          <w:szCs w:val="28"/>
        </w:rPr>
        <w:t>3.法定代表人证明书或法定代表人授权书；</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4.有可提交</w:t>
      </w:r>
      <w:r>
        <w:rPr>
          <w:rFonts w:hint="eastAsia" w:ascii="宋体" w:hAnsi="宋体" w:eastAsia="宋体" w:cs="宋体"/>
          <w:sz w:val="28"/>
          <w:szCs w:val="28"/>
        </w:rPr>
        <w:t>同类项目业绩有关材料</w:t>
      </w:r>
      <w:r>
        <w:rPr>
          <w:rFonts w:hint="eastAsia" w:asciiTheme="minorEastAsia" w:hAnsiTheme="minorEastAsia" w:cstheme="minorEastAsia"/>
          <w:sz w:val="28"/>
          <w:szCs w:val="28"/>
        </w:rPr>
        <w:t>。</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以上资料1套均须加盖供应商单位公章，并以保密不透明信封的形式递交，不透明信封外除标注“项目名称”和供应商单位章印外，不得有其他任何标识性文字和图</w:t>
      </w:r>
      <w:r>
        <w:rPr>
          <w:rFonts w:hint="eastAsia" w:ascii="宋体" w:hAnsi="宋体" w:eastAsia="宋体" w:cs="宋体"/>
          <w:sz w:val="28"/>
          <w:szCs w:val="28"/>
        </w:rPr>
        <w:t>案。以上资料需按顺序排列打印目录，装订成册，每页须法定代表人（或授权人）签字盖单位公章，</w:t>
      </w:r>
      <w:r>
        <w:rPr>
          <w:rFonts w:hint="eastAsia" w:ascii="宋体" w:hAnsi="宋体" w:eastAsia="宋体" w:cs="宋体"/>
          <w:spacing w:val="-4"/>
          <w:kern w:val="0"/>
          <w:sz w:val="28"/>
          <w:szCs w:val="28"/>
          <w:shd w:val="clear" w:color="auto" w:fill="FFFFFF"/>
        </w:rPr>
        <w:t>复印件</w:t>
      </w:r>
      <w:r>
        <w:rPr>
          <w:rFonts w:hint="eastAsia" w:ascii="宋体" w:hAnsi="宋体" w:eastAsia="宋体" w:cs="宋体"/>
          <w:sz w:val="28"/>
          <w:szCs w:val="28"/>
        </w:rPr>
        <w:t>加盖单位公章完好并核对原件</w:t>
      </w:r>
      <w:r>
        <w:rPr>
          <w:rFonts w:hint="eastAsia" w:ascii="宋体" w:hAnsi="宋体" w:eastAsia="宋体" w:cs="宋体"/>
          <w:spacing w:val="-4"/>
          <w:kern w:val="0"/>
          <w:sz w:val="28"/>
          <w:szCs w:val="28"/>
          <w:shd w:val="clear" w:color="auto" w:fill="FFFFFF"/>
        </w:rPr>
        <w:t>。</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六、递交报价资料的时间和地点：</w:t>
      </w:r>
      <w:r>
        <w:rPr>
          <w:rFonts w:hint="eastAsia" w:asciiTheme="minorEastAsia" w:hAnsiTheme="minorEastAsia" w:cstheme="minorEastAsia"/>
          <w:kern w:val="0"/>
          <w:sz w:val="28"/>
          <w:szCs w:val="28"/>
        </w:rPr>
        <w:t>2024年1月</w:t>
      </w:r>
      <w:r>
        <w:rPr>
          <w:rFonts w:hint="eastAsia" w:asciiTheme="minorEastAsia" w:hAnsiTheme="minorEastAsia" w:cstheme="minorEastAsia"/>
          <w:kern w:val="0"/>
          <w:sz w:val="28"/>
          <w:szCs w:val="28"/>
          <w:lang w:val="en-US" w:eastAsia="zh-CN"/>
        </w:rPr>
        <w:t>16</w:t>
      </w:r>
      <w:r>
        <w:rPr>
          <w:rFonts w:hint="eastAsia" w:asciiTheme="minorEastAsia" w:hAnsiTheme="minorEastAsia" w:cstheme="minorEastAsia"/>
          <w:kern w:val="0"/>
          <w:sz w:val="28"/>
          <w:szCs w:val="28"/>
        </w:rPr>
        <w:t>日下午2：30</w:t>
      </w:r>
      <w:r>
        <w:rPr>
          <w:rFonts w:hint="eastAsia" w:asciiTheme="minorEastAsia" w:hAnsiTheme="minorEastAsia" w:cstheme="minorEastAsia"/>
          <w:sz w:val="28"/>
          <w:szCs w:val="28"/>
        </w:rPr>
        <w:t>前，</w:t>
      </w:r>
      <w:r>
        <w:rPr>
          <w:rFonts w:hint="eastAsia" w:asciiTheme="minorEastAsia" w:hAnsiTheme="minorEastAsia" w:cstheme="minorEastAsia"/>
          <w:kern w:val="0"/>
          <w:sz w:val="28"/>
          <w:szCs w:val="28"/>
        </w:rPr>
        <w:t>广州市黄埔区揽月路101号A座6层广东重工建设监理有限公司左侧会议室</w:t>
      </w:r>
      <w:r>
        <w:rPr>
          <w:rFonts w:hint="eastAsia" w:asciiTheme="minorEastAsia" w:hAnsiTheme="minorEastAsia" w:cstheme="minorEastAsia"/>
          <w:sz w:val="28"/>
          <w:szCs w:val="28"/>
        </w:rPr>
        <w:t>。逾期送达或邮寄送达的报价资料恕不接收。</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七、开标时间和定标原则：</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（一）开标时间：</w:t>
      </w:r>
      <w:r>
        <w:rPr>
          <w:rFonts w:hint="eastAsia" w:asciiTheme="minorEastAsia" w:hAnsiTheme="minorEastAsia" w:cstheme="minorEastAsia"/>
          <w:kern w:val="0"/>
          <w:sz w:val="28"/>
          <w:szCs w:val="28"/>
        </w:rPr>
        <w:t>2024年1月</w:t>
      </w:r>
      <w:r>
        <w:rPr>
          <w:rFonts w:hint="eastAsia" w:asciiTheme="minorEastAsia" w:hAnsiTheme="minorEastAsia" w:cstheme="minorEastAsia"/>
          <w:kern w:val="0"/>
          <w:sz w:val="28"/>
          <w:szCs w:val="28"/>
          <w:lang w:val="en-US" w:eastAsia="zh-CN"/>
        </w:rPr>
        <w:t>16</w:t>
      </w:r>
      <w:r>
        <w:rPr>
          <w:rFonts w:hint="eastAsia" w:asciiTheme="minorEastAsia" w:hAnsiTheme="minorEastAsia" w:cstheme="minorEastAsia"/>
          <w:kern w:val="0"/>
          <w:sz w:val="28"/>
          <w:szCs w:val="28"/>
        </w:rPr>
        <w:t>日下</w:t>
      </w:r>
      <w:bookmarkStart w:id="0" w:name="_GoBack"/>
      <w:bookmarkEnd w:id="0"/>
      <w:r>
        <w:rPr>
          <w:rFonts w:hint="eastAsia" w:asciiTheme="minorEastAsia" w:hAnsiTheme="minorEastAsia" w:cstheme="minorEastAsia"/>
          <w:kern w:val="0"/>
          <w:sz w:val="28"/>
          <w:szCs w:val="28"/>
        </w:rPr>
        <w:t>午2：30</w:t>
      </w:r>
      <w:r>
        <w:rPr>
          <w:rFonts w:hint="eastAsia" w:asciiTheme="minorEastAsia" w:hAnsiTheme="minorEastAsia" w:cstheme="minorEastAsia"/>
          <w:sz w:val="28"/>
          <w:szCs w:val="28"/>
        </w:rPr>
        <w:t>；</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（二）定标原则：采用综合评分标准，评分最高者中标。</w:t>
      </w:r>
    </w:p>
    <w:p>
      <w:pPr>
        <w:pStyle w:val="2"/>
        <w:rPr>
          <w:rFonts w:asciiTheme="minorEastAsia" w:hAnsiTheme="minorEastAsia" w:cstheme="minorEastAsia"/>
          <w:sz w:val="28"/>
          <w:szCs w:val="28"/>
        </w:rPr>
      </w:pPr>
      <w:r>
        <w:rPr>
          <w:rFonts w:hint="eastAsia" w:asciiTheme="minorEastAsia" w:hAnsiTheme="minorEastAsia" w:cstheme="minorEastAsia"/>
          <w:sz w:val="28"/>
          <w:szCs w:val="28"/>
        </w:rPr>
        <w:t xml:space="preserve"> （三）评分标准：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81"/>
        <w:gridCol w:w="1500"/>
        <w:gridCol w:w="448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Pr>
          <w:p>
            <w:pPr>
              <w:rPr>
                <w:rFonts w:ascii="宋体" w:hAnsi="宋体" w:eastAsia="宋体" w:cs="宋体"/>
                <w:sz w:val="15"/>
                <w:szCs w:val="15"/>
              </w:rPr>
            </w:pPr>
            <w:r>
              <w:rPr>
                <w:rFonts w:hint="eastAsia" w:ascii="宋体" w:hAnsi="宋体" w:eastAsia="宋体" w:cs="宋体"/>
                <w:sz w:val="15"/>
                <w:szCs w:val="15"/>
              </w:rPr>
              <w:t>序号</w:t>
            </w:r>
          </w:p>
        </w:tc>
        <w:tc>
          <w:tcPr>
            <w:tcW w:w="881" w:type="dxa"/>
          </w:tcPr>
          <w:p>
            <w:pPr>
              <w:rPr>
                <w:rFonts w:ascii="宋体" w:hAnsi="宋体" w:eastAsia="宋体" w:cs="宋体"/>
                <w:sz w:val="15"/>
                <w:szCs w:val="15"/>
              </w:rPr>
            </w:pPr>
            <w:r>
              <w:rPr>
                <w:rFonts w:hint="eastAsia" w:ascii="宋体" w:hAnsi="宋体" w:eastAsia="宋体" w:cs="宋体"/>
                <w:sz w:val="15"/>
                <w:szCs w:val="15"/>
              </w:rPr>
              <w:t>类型</w:t>
            </w:r>
          </w:p>
        </w:tc>
        <w:tc>
          <w:tcPr>
            <w:tcW w:w="1500" w:type="dxa"/>
          </w:tcPr>
          <w:p>
            <w:pPr>
              <w:rPr>
                <w:rFonts w:ascii="宋体" w:hAnsi="宋体" w:eastAsia="宋体" w:cs="宋体"/>
                <w:sz w:val="15"/>
                <w:szCs w:val="15"/>
              </w:rPr>
            </w:pPr>
            <w:r>
              <w:rPr>
                <w:rFonts w:hint="eastAsia" w:ascii="宋体" w:hAnsi="宋体" w:eastAsia="宋体" w:cs="宋体"/>
                <w:sz w:val="15"/>
                <w:szCs w:val="15"/>
              </w:rPr>
              <w:t>评分内容</w:t>
            </w:r>
          </w:p>
        </w:tc>
        <w:tc>
          <w:tcPr>
            <w:tcW w:w="4481" w:type="dxa"/>
          </w:tcPr>
          <w:p>
            <w:pPr>
              <w:rPr>
                <w:rFonts w:ascii="宋体" w:hAnsi="宋体" w:eastAsia="宋体" w:cs="宋体"/>
                <w:sz w:val="15"/>
                <w:szCs w:val="15"/>
              </w:rPr>
            </w:pPr>
            <w:r>
              <w:rPr>
                <w:rFonts w:hint="eastAsia" w:ascii="宋体" w:hAnsi="宋体" w:eastAsia="宋体" w:cs="宋体"/>
                <w:sz w:val="15"/>
                <w:szCs w:val="15"/>
              </w:rPr>
              <w:t>评分标准</w:t>
            </w:r>
          </w:p>
        </w:tc>
        <w:tc>
          <w:tcPr>
            <w:tcW w:w="844" w:type="dxa"/>
          </w:tcPr>
          <w:p>
            <w:pPr>
              <w:rPr>
                <w:rFonts w:ascii="宋体" w:hAnsi="宋体" w:eastAsia="宋体" w:cs="宋体"/>
                <w:sz w:val="15"/>
                <w:szCs w:val="15"/>
              </w:rPr>
            </w:pPr>
            <w:r>
              <w:rPr>
                <w:rFonts w:hint="eastAsia" w:ascii="宋体" w:hAnsi="宋体" w:eastAsia="宋体" w:cs="宋体"/>
                <w:sz w:val="15"/>
                <w:szCs w:val="15"/>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7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88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商务部分（35分）</w:t>
            </w: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项目成员配备情况</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拟派项目组成员具“花市“相关项目经验，每提供一项得3分，最高得27分。(须提供相关证明材料，不提供材料不得分。)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71" w:type="dxa"/>
            <w:vMerge w:val="continue"/>
            <w:vAlign w:val="center"/>
          </w:tcPr>
          <w:p>
            <w:pPr>
              <w:jc w:val="center"/>
              <w:rPr>
                <w:rFonts w:ascii="宋体" w:hAnsi="宋体" w:eastAsia="宋体" w:cs="宋体"/>
                <w:sz w:val="15"/>
                <w:szCs w:val="15"/>
              </w:rPr>
            </w:pPr>
          </w:p>
        </w:tc>
        <w:tc>
          <w:tcPr>
            <w:tcW w:w="881" w:type="dxa"/>
            <w:vMerge w:val="continue"/>
            <w:vAlign w:val="center"/>
          </w:tcPr>
          <w:p>
            <w:pPr>
              <w:jc w:val="center"/>
              <w:rPr>
                <w:rFonts w:ascii="宋体" w:hAnsi="宋体" w:eastAsia="宋体" w:cs="宋体"/>
                <w:sz w:val="15"/>
                <w:szCs w:val="15"/>
              </w:rPr>
            </w:pP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同类项目业绩</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投标人2019年以来实施同类项目，每实施一个得2分，最高得8分，没有不得分。（提供项目合同或中标通知书为准。）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2</w:t>
            </w:r>
          </w:p>
        </w:tc>
        <w:tc>
          <w:tcPr>
            <w:tcW w:w="88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技术部分（50分）</w:t>
            </w: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对项目的理解与解读</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对项目有很深入的理解，很合理的解读得5分；对项目有比较深入的理解，合理的解读，得3分；对项目理解不够，解读不合理或其他情况，得0分。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1" w:type="dxa"/>
            <w:vMerge w:val="continue"/>
            <w:vAlign w:val="center"/>
          </w:tcPr>
          <w:p>
            <w:pPr>
              <w:jc w:val="center"/>
              <w:rPr>
                <w:rFonts w:ascii="宋体" w:hAnsi="宋体" w:eastAsia="宋体" w:cs="宋体"/>
                <w:sz w:val="15"/>
                <w:szCs w:val="15"/>
              </w:rPr>
            </w:pPr>
          </w:p>
        </w:tc>
        <w:tc>
          <w:tcPr>
            <w:tcW w:w="881" w:type="dxa"/>
            <w:vMerge w:val="continue"/>
            <w:vAlign w:val="center"/>
          </w:tcPr>
          <w:p>
            <w:pPr>
              <w:jc w:val="center"/>
              <w:rPr>
                <w:rFonts w:ascii="宋体" w:hAnsi="宋体" w:eastAsia="宋体" w:cs="宋体"/>
                <w:sz w:val="15"/>
                <w:szCs w:val="15"/>
              </w:rPr>
            </w:pP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总体思路和实施方案</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202</w:t>
            </w:r>
            <w:r>
              <w:rPr>
                <w:rFonts w:ascii="宋体" w:hAnsi="宋体" w:eastAsia="宋体" w:cs="宋体"/>
                <w:sz w:val="15"/>
                <w:szCs w:val="15"/>
              </w:rPr>
              <w:t>4</w:t>
            </w:r>
            <w:r>
              <w:rPr>
                <w:rFonts w:hint="eastAsia" w:ascii="宋体" w:hAnsi="宋体" w:eastAsia="宋体" w:cs="宋体"/>
                <w:sz w:val="15"/>
                <w:szCs w:val="15"/>
              </w:rPr>
              <w:t>年黄埔迎春花市思路和方案完整、详细、表述清晰、科学合理、切实可行，得40分；思路和方案比较完整、详细、表述比较清晰、合理、可行，得30分；思路和方案基本完整、表述基本清晰、基本合理可行，得20分；其他或无响应，得0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71" w:type="dxa"/>
            <w:vMerge w:val="continue"/>
            <w:vAlign w:val="center"/>
          </w:tcPr>
          <w:p>
            <w:pPr>
              <w:jc w:val="center"/>
              <w:rPr>
                <w:rFonts w:ascii="宋体" w:hAnsi="宋体" w:eastAsia="宋体" w:cs="宋体"/>
                <w:sz w:val="15"/>
                <w:szCs w:val="15"/>
              </w:rPr>
            </w:pPr>
          </w:p>
        </w:tc>
        <w:tc>
          <w:tcPr>
            <w:tcW w:w="881" w:type="dxa"/>
            <w:vMerge w:val="continue"/>
            <w:vAlign w:val="center"/>
          </w:tcPr>
          <w:p>
            <w:pPr>
              <w:jc w:val="center"/>
              <w:rPr>
                <w:rFonts w:ascii="宋体" w:hAnsi="宋体" w:eastAsia="宋体" w:cs="宋体"/>
                <w:sz w:val="15"/>
                <w:szCs w:val="15"/>
              </w:rPr>
            </w:pP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项目整体响应</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对需求响应程度高、工作组织时间安排完善、合理可行，得5分；响应程度一般，工作组织时间安排比较合理，得3分；其他或无响应得0分。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center"/>
              <w:rPr>
                <w:rFonts w:ascii="宋体" w:hAnsi="宋体" w:eastAsia="宋体" w:cs="宋体"/>
                <w:sz w:val="15"/>
                <w:szCs w:val="15"/>
              </w:rPr>
            </w:pPr>
            <w:r>
              <w:rPr>
                <w:rFonts w:hint="eastAsia" w:ascii="宋体" w:hAnsi="宋体" w:eastAsia="宋体" w:cs="宋体"/>
                <w:sz w:val="15"/>
                <w:szCs w:val="15"/>
              </w:rPr>
              <w:t>3</w:t>
            </w:r>
          </w:p>
        </w:tc>
        <w:tc>
          <w:tcPr>
            <w:tcW w:w="881" w:type="dxa"/>
            <w:vAlign w:val="center"/>
          </w:tcPr>
          <w:p>
            <w:pPr>
              <w:jc w:val="center"/>
              <w:rPr>
                <w:rFonts w:ascii="宋体" w:hAnsi="宋体" w:eastAsia="宋体" w:cs="宋体"/>
                <w:sz w:val="15"/>
                <w:szCs w:val="15"/>
              </w:rPr>
            </w:pPr>
            <w:r>
              <w:rPr>
                <w:rFonts w:hint="eastAsia" w:ascii="宋体" w:hAnsi="宋体" w:eastAsia="宋体" w:cs="宋体"/>
                <w:sz w:val="15"/>
                <w:szCs w:val="15"/>
              </w:rPr>
              <w:t>价格部分（15分）</w:t>
            </w: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价格</w:t>
            </w:r>
          </w:p>
        </w:tc>
        <w:tc>
          <w:tcPr>
            <w:tcW w:w="4481" w:type="dxa"/>
          </w:tcPr>
          <w:p>
            <w:pPr>
              <w:pStyle w:val="8"/>
              <w:widowControl/>
              <w:spacing w:before="225" w:beforeAutospacing="0" w:after="225" w:afterAutospacing="0" w:line="200" w:lineRule="exact"/>
              <w:jc w:val="both"/>
              <w:rPr>
                <w:rFonts w:ascii="宋体" w:hAnsi="宋体" w:eastAsia="宋体" w:cs="宋体"/>
                <w:sz w:val="15"/>
                <w:szCs w:val="15"/>
              </w:rPr>
            </w:pPr>
            <w:r>
              <w:rPr>
                <w:rFonts w:hint="eastAsia" w:ascii="宋体" w:hAnsi="宋体" w:eastAsia="宋体" w:cs="宋体"/>
                <w:sz w:val="15"/>
                <w:szCs w:val="15"/>
              </w:rPr>
              <w:t>价格分采用低价优先法计算，各有效投标人的评标价中，取最低价为评标基准价，其价格分为满分。其他投标人的价格分统一按照下列公式计算：投标报价价格评分=（评标基准价÷评标价）× 15分”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6862"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合计</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100</w:t>
            </w:r>
          </w:p>
        </w:tc>
      </w:tr>
    </w:tbl>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八、无效报价和废标原则：供应商报价超过最高限价的，为无效报价；不符合本项目采购需求的、报价供应商不足3家的、资料不完备的，均可作废标处理。</w:t>
      </w:r>
    </w:p>
    <w:p>
      <w:pPr>
        <w:adjustRightInd w:val="0"/>
        <w:snapToGrid w:val="0"/>
        <w:spacing w:line="360" w:lineRule="auto"/>
        <w:ind w:firstLine="560" w:firstLineChars="200"/>
        <w:jc w:val="left"/>
        <w:rPr>
          <w:rFonts w:asciiTheme="minorEastAsia" w:hAnsiTheme="minorEastAsia" w:cstheme="minorEastAsia"/>
          <w:b/>
          <w:bCs/>
          <w:sz w:val="28"/>
          <w:szCs w:val="28"/>
        </w:rPr>
      </w:pPr>
      <w:r>
        <w:rPr>
          <w:rFonts w:hint="eastAsia" w:asciiTheme="minorEastAsia" w:hAnsiTheme="minorEastAsia" w:cstheme="minorEastAsia"/>
          <w:sz w:val="28"/>
          <w:szCs w:val="28"/>
        </w:rPr>
        <w:t>九、中标结果通知：确定中标供应商后，将通知中标供应商，并签订合同，其余未中标者不再另行通知。</w:t>
      </w:r>
    </w:p>
    <w:p>
      <w:pPr>
        <w:widowControl/>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十、招标代理费及其他相关的费用由中标单位按照国家收费标准在领取中标通知书/成交通知书时缴交。该费用包含在投标报价中。</w:t>
      </w:r>
    </w:p>
    <w:p>
      <w:pPr>
        <w:widowControl/>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十一、本项目采购人：</w:t>
      </w:r>
      <w:r>
        <w:rPr>
          <w:rFonts w:hint="eastAsia" w:asciiTheme="minorEastAsia" w:hAnsiTheme="minorEastAsia" w:cstheme="minorEastAsia"/>
          <w:kern w:val="0"/>
          <w:sz w:val="28"/>
          <w:szCs w:val="28"/>
        </w:rPr>
        <w:t>广州开发区绿化和公园管理中心</w:t>
      </w:r>
      <w:r>
        <w:rPr>
          <w:rFonts w:hint="eastAsia" w:asciiTheme="minorEastAsia" w:hAnsiTheme="minorEastAsia" w:cstheme="minorEastAsia"/>
          <w:sz w:val="28"/>
          <w:szCs w:val="28"/>
        </w:rPr>
        <w:t>（广州市黄埔区绿化和公园管理中心）；地址：广州市黄埔区科学城科学大道162号创意大厦B3栋405、406室；采购代理机构：广东重工建设监理有限公司；地址：</w:t>
      </w:r>
      <w:r>
        <w:rPr>
          <w:rFonts w:hint="eastAsia" w:asciiTheme="minorEastAsia" w:hAnsiTheme="minorEastAsia" w:cstheme="minorEastAsia"/>
          <w:kern w:val="0"/>
          <w:sz w:val="28"/>
          <w:szCs w:val="28"/>
        </w:rPr>
        <w:t>广州市黄埔区揽月路101号A座</w:t>
      </w:r>
      <w:r>
        <w:rPr>
          <w:rFonts w:asciiTheme="minorEastAsia" w:hAnsiTheme="minorEastAsia" w:cstheme="minorEastAsia"/>
          <w:kern w:val="0"/>
          <w:sz w:val="28"/>
          <w:szCs w:val="28"/>
        </w:rPr>
        <w:t>7</w:t>
      </w:r>
      <w:r>
        <w:rPr>
          <w:rFonts w:hint="eastAsia" w:asciiTheme="minorEastAsia" w:hAnsiTheme="minorEastAsia" w:cstheme="minorEastAsia"/>
          <w:kern w:val="0"/>
          <w:sz w:val="28"/>
          <w:szCs w:val="28"/>
        </w:rPr>
        <w:t>层；</w:t>
      </w:r>
      <w:r>
        <w:rPr>
          <w:rFonts w:hint="eastAsia" w:asciiTheme="minorEastAsia" w:hAnsiTheme="minorEastAsia" w:cstheme="minorEastAsia"/>
          <w:sz w:val="28"/>
          <w:szCs w:val="28"/>
        </w:rPr>
        <w:t>联系人：余工；电话：13392110850。</w:t>
      </w:r>
    </w:p>
    <w:p>
      <w:pPr>
        <w:pStyle w:val="2"/>
        <w:rPr>
          <w:rFonts w:asciiTheme="minorEastAsia" w:hAnsiTheme="minorEastAsia" w:cstheme="minorEastAsia"/>
          <w:sz w:val="28"/>
          <w:szCs w:val="28"/>
        </w:rPr>
      </w:pPr>
    </w:p>
    <w:p>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pPr>
        <w:rPr>
          <w:rFonts w:asciiTheme="minorEastAsia" w:hAnsiTheme="minorEastAsia" w:cstheme="minorEastAsia"/>
          <w:kern w:val="0"/>
          <w:sz w:val="28"/>
          <w:szCs w:val="28"/>
        </w:rPr>
      </w:pPr>
      <w:r>
        <w:rPr>
          <w:rFonts w:hint="eastAsia" w:asciiTheme="minorEastAsia" w:hAnsiTheme="minorEastAsia" w:cstheme="minorEastAsia"/>
          <w:sz w:val="28"/>
          <w:szCs w:val="28"/>
        </w:rPr>
        <w:t>附件：</w:t>
      </w:r>
      <w:r>
        <w:rPr>
          <w:rFonts w:hint="eastAsia" w:asciiTheme="minorEastAsia" w:hAnsiTheme="minorEastAsia" w:cstheme="minorEastAsia"/>
          <w:kern w:val="0"/>
          <w:sz w:val="28"/>
          <w:szCs w:val="28"/>
        </w:rPr>
        <w:t>2024年黄埔区迎春花市绿轴广场分会场主牌楼项目示意图</w:t>
      </w:r>
    </w:p>
    <w:p>
      <w:r>
        <w:rPr>
          <w:rFonts w:hint="eastAsia"/>
        </w:rPr>
        <w:drawing>
          <wp:inline distT="0" distB="0" distL="114300" distR="114300">
            <wp:extent cx="5272405" cy="2797810"/>
            <wp:effectExtent l="0" t="0" r="4445" b="2540"/>
            <wp:docPr id="3" name="图片 3" descr="主牌楼-绿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主牌楼-绿轴"/>
                    <pic:cNvPicPr>
                      <a:picLocks noChangeAspect="1"/>
                    </pic:cNvPicPr>
                  </pic:nvPicPr>
                  <pic:blipFill>
                    <a:blip r:embed="rId5"/>
                    <a:stretch>
                      <a:fillRect/>
                    </a:stretch>
                  </pic:blipFill>
                  <pic:spPr>
                    <a:xfrm>
                      <a:off x="0" y="0"/>
                      <a:ext cx="5272405" cy="2797810"/>
                    </a:xfrm>
                    <a:prstGeom prst="rect">
                      <a:avLst/>
                    </a:prstGeom>
                  </pic:spPr>
                </pic:pic>
              </a:graphicData>
            </a:graphic>
          </wp:inline>
        </w:drawing>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NWJlY2Q2ZDllYmI4YmJiYjQ1MjQwZWMzY2M5ODcifQ=="/>
  </w:docVars>
  <w:rsids>
    <w:rsidRoot w:val="196637EA"/>
    <w:rsid w:val="00127ADC"/>
    <w:rsid w:val="00162D66"/>
    <w:rsid w:val="0020442F"/>
    <w:rsid w:val="00335B5B"/>
    <w:rsid w:val="00381B87"/>
    <w:rsid w:val="004E1DAF"/>
    <w:rsid w:val="00550BB5"/>
    <w:rsid w:val="00582788"/>
    <w:rsid w:val="006E5BCB"/>
    <w:rsid w:val="007C505B"/>
    <w:rsid w:val="00823374"/>
    <w:rsid w:val="009269A2"/>
    <w:rsid w:val="00A21BAE"/>
    <w:rsid w:val="00AB35E4"/>
    <w:rsid w:val="00B17EA1"/>
    <w:rsid w:val="00B66032"/>
    <w:rsid w:val="00B74100"/>
    <w:rsid w:val="00BF4DB4"/>
    <w:rsid w:val="00CD2866"/>
    <w:rsid w:val="00CD475E"/>
    <w:rsid w:val="00DE297B"/>
    <w:rsid w:val="00E27715"/>
    <w:rsid w:val="00E46886"/>
    <w:rsid w:val="00F33AAE"/>
    <w:rsid w:val="00FA236C"/>
    <w:rsid w:val="02D66F93"/>
    <w:rsid w:val="05473808"/>
    <w:rsid w:val="06F37E87"/>
    <w:rsid w:val="075F300A"/>
    <w:rsid w:val="081F7DAC"/>
    <w:rsid w:val="0A20501F"/>
    <w:rsid w:val="0A7D5FCD"/>
    <w:rsid w:val="0B54538E"/>
    <w:rsid w:val="0B7411DC"/>
    <w:rsid w:val="0E4806A0"/>
    <w:rsid w:val="10897535"/>
    <w:rsid w:val="10B95DE5"/>
    <w:rsid w:val="11A54021"/>
    <w:rsid w:val="13377CC9"/>
    <w:rsid w:val="1538164C"/>
    <w:rsid w:val="1863089F"/>
    <w:rsid w:val="18714C97"/>
    <w:rsid w:val="196637EA"/>
    <w:rsid w:val="1AF67937"/>
    <w:rsid w:val="1BDF2947"/>
    <w:rsid w:val="1D4F5F0F"/>
    <w:rsid w:val="202076CF"/>
    <w:rsid w:val="20A200E4"/>
    <w:rsid w:val="22873A35"/>
    <w:rsid w:val="22C74532"/>
    <w:rsid w:val="2536704D"/>
    <w:rsid w:val="27E70AD2"/>
    <w:rsid w:val="28AD3ACA"/>
    <w:rsid w:val="28B906C0"/>
    <w:rsid w:val="29D84B76"/>
    <w:rsid w:val="29EB316C"/>
    <w:rsid w:val="2FEE6EA1"/>
    <w:rsid w:val="31061DBB"/>
    <w:rsid w:val="315244CF"/>
    <w:rsid w:val="31F90B0B"/>
    <w:rsid w:val="32546D64"/>
    <w:rsid w:val="33E32A95"/>
    <w:rsid w:val="36DF5BDD"/>
    <w:rsid w:val="39077C32"/>
    <w:rsid w:val="3AC50A89"/>
    <w:rsid w:val="3AE23074"/>
    <w:rsid w:val="405C6622"/>
    <w:rsid w:val="4205007B"/>
    <w:rsid w:val="4504420B"/>
    <w:rsid w:val="4592568F"/>
    <w:rsid w:val="46C17CB9"/>
    <w:rsid w:val="46E110B6"/>
    <w:rsid w:val="48E83C0F"/>
    <w:rsid w:val="4A4F27DB"/>
    <w:rsid w:val="4AD30E78"/>
    <w:rsid w:val="4BC114B6"/>
    <w:rsid w:val="4C231829"/>
    <w:rsid w:val="4CF5766A"/>
    <w:rsid w:val="5674541D"/>
    <w:rsid w:val="56E53A2E"/>
    <w:rsid w:val="5B433C96"/>
    <w:rsid w:val="60F03F78"/>
    <w:rsid w:val="61E33ADD"/>
    <w:rsid w:val="622728BA"/>
    <w:rsid w:val="64572CD5"/>
    <w:rsid w:val="65B00270"/>
    <w:rsid w:val="66D70260"/>
    <w:rsid w:val="698F0B7F"/>
    <w:rsid w:val="6B2B1E7F"/>
    <w:rsid w:val="6BC25800"/>
    <w:rsid w:val="6DB93944"/>
    <w:rsid w:val="6E1E424B"/>
    <w:rsid w:val="6E566A66"/>
    <w:rsid w:val="6F0B01CF"/>
    <w:rsid w:val="6F4436E1"/>
    <w:rsid w:val="72821A51"/>
    <w:rsid w:val="73E621D8"/>
    <w:rsid w:val="73E877F3"/>
    <w:rsid w:val="75B01AD0"/>
    <w:rsid w:val="780E2ADE"/>
    <w:rsid w:val="7A8772A3"/>
    <w:rsid w:val="7B7F61CD"/>
    <w:rsid w:val="7F25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autoSpaceDE w:val="0"/>
      <w:autoSpaceDN w:val="0"/>
      <w:spacing w:line="540" w:lineRule="exact"/>
      <w:ind w:firstLine="200" w:firstLineChars="200"/>
      <w:jc w:val="left"/>
      <w:outlineLvl w:val="0"/>
    </w:pPr>
    <w:rPr>
      <w:rFonts w:ascii="微软雅黑" w:hAnsi="微软雅黑" w:eastAsia="仿宋_GB2312" w:cs="微软雅黑"/>
      <w:b/>
      <w:bCs/>
      <w:kern w:val="0"/>
      <w:sz w:val="32"/>
      <w:szCs w:val="44"/>
      <w:lang w:val="zh-CN"/>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0"/>
    <w:pPr>
      <w:ind w:left="420" w:leftChars="200"/>
    </w:pPr>
  </w:style>
  <w:style w:type="paragraph" w:styleId="4">
    <w:name w:val="Body Text Indent"/>
    <w:basedOn w:val="1"/>
    <w:next w:val="5"/>
    <w:autoRedefine/>
    <w:qFormat/>
    <w:uiPriority w:val="0"/>
    <w:pPr>
      <w:ind w:firstLine="830" w:firstLineChars="352"/>
    </w:pPr>
    <w:rPr>
      <w:rFonts w:ascii="仿宋_GB2312" w:eastAsia="仿宋_GB2312"/>
      <w:sz w:val="32"/>
      <w:szCs w:val="20"/>
    </w:rPr>
  </w:style>
  <w:style w:type="paragraph" w:styleId="5">
    <w:name w:val="envelope return"/>
    <w:basedOn w:val="1"/>
    <w:autoRedefine/>
    <w:qFormat/>
    <w:uiPriority w:val="0"/>
    <w:pPr>
      <w:snapToGrid w:val="0"/>
    </w:pPr>
    <w:rPr>
      <w:rFonts w:ascii="Arial" w:hAnsi="Arial"/>
      <w:szCs w:val="24"/>
    </w:rPr>
  </w:style>
  <w:style w:type="paragraph" w:styleId="6">
    <w:name w:val="footer"/>
    <w:basedOn w:val="1"/>
    <w:autoRedefine/>
    <w:qFormat/>
    <w:uiPriority w:val="0"/>
    <w:pPr>
      <w:tabs>
        <w:tab w:val="center" w:pos="4153"/>
        <w:tab w:val="right" w:pos="8306"/>
      </w:tabs>
      <w:snapToGrid w:val="0"/>
      <w:jc w:val="left"/>
    </w:pPr>
    <w:rPr>
      <w:rFonts w:cs="Times New Roman"/>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Normal (Web)"/>
    <w:basedOn w:val="1"/>
    <w:autoRedefine/>
    <w:qFormat/>
    <w:uiPriority w:val="0"/>
    <w:pPr>
      <w:spacing w:beforeAutospacing="1" w:afterAutospacing="1"/>
      <w:jc w:val="left"/>
    </w:pPr>
    <w:rPr>
      <w:rFonts w:cs="Times New Roman"/>
      <w:kern w:val="0"/>
      <w:sz w:val="24"/>
    </w:rPr>
  </w:style>
  <w:style w:type="paragraph" w:styleId="9">
    <w:name w:val="Body Text First Indent 2"/>
    <w:basedOn w:val="4"/>
    <w:autoRedefine/>
    <w:qFormat/>
    <w:uiPriority w:val="0"/>
    <w:pPr>
      <w:tabs>
        <w:tab w:val="left" w:pos="567"/>
      </w:tabs>
      <w:ind w:firstLine="1960" w:firstLineChars="700"/>
    </w:pPr>
    <w:rPr>
      <w:rFonts w:asciiTheme="minorEastAsia" w:hAnsiTheme="minorEastAsia" w:eastAsiaTheme="minorEastAsia"/>
      <w:sz w:val="28"/>
      <w:szCs w:val="2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333333"/>
      <w:u w:val="none"/>
    </w:rPr>
  </w:style>
  <w:style w:type="character" w:styleId="14">
    <w:name w:val="Hyperlink"/>
    <w:autoRedefine/>
    <w:qFormat/>
    <w:uiPriority w:val="99"/>
    <w:rPr>
      <w:rFonts w:eastAsia="宋体"/>
      <w:color w:val="0000FF"/>
      <w:sz w:val="28"/>
      <w:u w:val="single"/>
    </w:rPr>
  </w:style>
  <w:style w:type="character" w:customStyle="1" w:styleId="15">
    <w:name w:val="pic"/>
    <w:basedOn w:val="12"/>
    <w:autoRedefine/>
    <w:qFormat/>
    <w:uiPriority w:val="0"/>
    <w:rPr>
      <w:shd w:val="clear" w:color="auto" w:fill="EBEBEB"/>
    </w:rPr>
  </w:style>
  <w:style w:type="character" w:customStyle="1" w:styleId="16">
    <w:name w:val="pic1"/>
    <w:basedOn w:val="12"/>
    <w:autoRedefine/>
    <w:qFormat/>
    <w:uiPriority w:val="0"/>
  </w:style>
  <w:style w:type="character" w:customStyle="1" w:styleId="17">
    <w:name w:val="txt"/>
    <w:basedOn w:val="12"/>
    <w:autoRedefine/>
    <w:qFormat/>
    <w:uiPriority w:val="0"/>
    <w:rPr>
      <w:sz w:val="21"/>
      <w:szCs w:val="21"/>
      <w:bdr w:val="single" w:color="EBEBEB" w:sz="6" w:space="0"/>
      <w:shd w:val="clear" w:color="auto" w:fill="F9F9F9"/>
    </w:rPr>
  </w:style>
  <w:style w:type="character" w:customStyle="1" w:styleId="18">
    <w:name w:val="txt1"/>
    <w:basedOn w:val="12"/>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359</Words>
  <Characters>2051</Characters>
  <Lines>17</Lines>
  <Paragraphs>4</Paragraphs>
  <TotalTime>12</TotalTime>
  <ScaleCrop>false</ScaleCrop>
  <LinksUpToDate>false</LinksUpToDate>
  <CharactersWithSpaces>2406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2022-01-14T09:32:00Z</dcterms:created>
  <dc:creator>陈爱民</dc:creator>
  <cp:lastModifiedBy>TL</cp:lastModifiedBy>
  <cp:lastPrinted>2023-01-04T02:27:00Z</cp:lastPrinted>
  <dcterms:modified xsi:type="dcterms:W3CDTF">2024-01-09T03:35:02Z</dcterms:modified>
  <dc:title>*****招标公告</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A33E35EB2F6943FDB313410DB00AAD6C_13</vt:lpwstr>
  </property>
</Properties>
</file>