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style1.xml" ContentType="application/vnd.ms-office.chartstyle+xml"/>
  <Override PartName="/word/charts/style2.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theme/themeOverride1.xml" ContentType="application/vnd.openxmlformats-officedocument.themeOverrid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overflowPunct/>
        <w:topLinePunct w:val="0"/>
        <w:autoSpaceDE/>
        <w:autoSpaceDN/>
        <w:bidi w:val="0"/>
        <w:adjustRightInd w:val="0"/>
        <w:snapToGrid w:val="0"/>
        <w:spacing w:line="580" w:lineRule="exact"/>
        <w:jc w:val="center"/>
        <w:textAlignment w:val="auto"/>
        <w:rPr>
          <w:rFonts w:hint="eastAsia" w:ascii="方正小标宋简体" w:hAnsi="方正小标宋简体" w:eastAsia="方正小标宋简体" w:cs="方正小标宋简体"/>
          <w:snapToGrid w:val="0"/>
          <w:color w:val="000000" w:themeColor="text1"/>
          <w:kern w:val="0"/>
          <w:sz w:val="44"/>
          <w:szCs w:val="44"/>
          <w14:textFill>
            <w14:solidFill>
              <w14:schemeClr w14:val="tx1"/>
            </w14:solidFill>
          </w14:textFill>
        </w:rPr>
      </w:pPr>
      <w:r>
        <w:rPr>
          <w:rFonts w:hint="eastAsia" w:ascii="方正小标宋简体" w:hAnsi="方正小标宋简体" w:eastAsia="方正小标宋简体" w:cs="方正小标宋简体"/>
          <w:snapToGrid w:val="0"/>
          <w:color w:val="000000" w:themeColor="text1"/>
          <w:kern w:val="0"/>
          <w:sz w:val="44"/>
          <w:szCs w:val="44"/>
          <w14:textFill>
            <w14:solidFill>
              <w14:schemeClr w14:val="tx1"/>
            </w14:solidFill>
          </w14:textFill>
        </w:rPr>
        <w:t>广州市</w:t>
      </w:r>
      <w:r>
        <w:rPr>
          <w:rFonts w:hint="eastAsia" w:ascii="方正小标宋简体" w:hAnsi="方正小标宋简体" w:eastAsia="方正小标宋简体" w:cs="方正小标宋简体"/>
          <w:snapToGrid w:val="0"/>
          <w:color w:val="000000" w:themeColor="text1"/>
          <w:kern w:val="0"/>
          <w:sz w:val="44"/>
          <w:szCs w:val="44"/>
          <w:lang w:eastAsia="zh-CN"/>
          <w14:textFill>
            <w14:solidFill>
              <w14:schemeClr w14:val="tx1"/>
            </w14:solidFill>
          </w14:textFill>
        </w:rPr>
        <w:t>黄埔区</w:t>
      </w:r>
      <w:r>
        <w:rPr>
          <w:rFonts w:hint="eastAsia" w:ascii="方正小标宋简体" w:hAnsi="方正小标宋简体" w:eastAsia="方正小标宋简体" w:cs="方正小标宋简体"/>
          <w:snapToGrid w:val="0"/>
          <w:color w:val="000000" w:themeColor="text1"/>
          <w:kern w:val="0"/>
          <w:sz w:val="44"/>
          <w:szCs w:val="44"/>
          <w14:textFill>
            <w14:solidFill>
              <w14:schemeClr w14:val="tx1"/>
            </w14:solidFill>
          </w14:textFill>
        </w:rPr>
        <w:t>教育局</w:t>
      </w:r>
      <w:r>
        <w:rPr>
          <w:rFonts w:hint="default" w:ascii="Times New Roman" w:hAnsi="Times New Roman" w:eastAsia="方正小标宋简体" w:cs="Times New Roman"/>
          <w:snapToGrid w:val="0"/>
          <w:color w:val="000000" w:themeColor="text1"/>
          <w:kern w:val="0"/>
          <w:sz w:val="44"/>
          <w:szCs w:val="44"/>
          <w14:textFill>
            <w14:solidFill>
              <w14:schemeClr w14:val="tx1"/>
            </w14:solidFill>
          </w14:textFill>
        </w:rPr>
        <w:t>202</w:t>
      </w:r>
      <w:r>
        <w:rPr>
          <w:rFonts w:hint="default" w:ascii="Times New Roman" w:hAnsi="Times New Roman" w:eastAsia="方正小标宋简体" w:cs="Times New Roman"/>
          <w:snapToGrid w:val="0"/>
          <w:color w:val="000000" w:themeColor="text1"/>
          <w:kern w:val="0"/>
          <w:sz w:val="44"/>
          <w:szCs w:val="44"/>
          <w:lang w:val="en-US" w:eastAsia="zh-CN"/>
          <w14:textFill>
            <w14:solidFill>
              <w14:schemeClr w14:val="tx1"/>
            </w14:solidFill>
          </w14:textFill>
        </w:rPr>
        <w:t>3</w:t>
      </w:r>
      <w:r>
        <w:rPr>
          <w:rFonts w:hint="eastAsia" w:ascii="方正小标宋简体" w:hAnsi="方正小标宋简体" w:eastAsia="方正小标宋简体" w:cs="方正小标宋简体"/>
          <w:snapToGrid w:val="0"/>
          <w:color w:val="000000" w:themeColor="text1"/>
          <w:kern w:val="0"/>
          <w:sz w:val="44"/>
          <w:szCs w:val="44"/>
          <w14:textFill>
            <w14:solidFill>
              <w14:schemeClr w14:val="tx1"/>
            </w14:solidFill>
          </w14:textFill>
        </w:rPr>
        <w:t>年政府</w:t>
      </w:r>
    </w:p>
    <w:p>
      <w:pPr>
        <w:keepNext w:val="0"/>
        <w:keepLines w:val="0"/>
        <w:pageBreakBefore w:val="0"/>
        <w:widowControl w:val="0"/>
        <w:kinsoku/>
        <w:overflowPunct/>
        <w:topLinePunct w:val="0"/>
        <w:autoSpaceDE/>
        <w:autoSpaceDN/>
        <w:bidi w:val="0"/>
        <w:adjustRightInd w:val="0"/>
        <w:snapToGrid w:val="0"/>
        <w:spacing w:line="580" w:lineRule="exact"/>
        <w:jc w:val="center"/>
        <w:textAlignment w:val="auto"/>
        <w:rPr>
          <w:rFonts w:hint="eastAsia" w:ascii="方正小标宋简体" w:hAnsi="方正小标宋简体" w:eastAsia="方正小标宋简体" w:cs="方正小标宋简体"/>
          <w:snapToGrid w:val="0"/>
          <w:color w:val="000000" w:themeColor="text1"/>
          <w:kern w:val="0"/>
          <w:sz w:val="44"/>
          <w:szCs w:val="44"/>
          <w14:textFill>
            <w14:solidFill>
              <w14:schemeClr w14:val="tx1"/>
            </w14:solidFill>
          </w14:textFill>
        </w:rPr>
      </w:pPr>
      <w:r>
        <w:rPr>
          <w:rFonts w:hint="eastAsia" w:ascii="方正小标宋简体" w:hAnsi="方正小标宋简体" w:eastAsia="方正小标宋简体" w:cs="方正小标宋简体"/>
          <w:snapToGrid w:val="0"/>
          <w:color w:val="000000" w:themeColor="text1"/>
          <w:kern w:val="0"/>
          <w:sz w:val="44"/>
          <w:szCs w:val="44"/>
          <w14:textFill>
            <w14:solidFill>
              <w14:schemeClr w14:val="tx1"/>
            </w14:solidFill>
          </w14:textFill>
        </w:rPr>
        <w:t>信息公开工作</w:t>
      </w:r>
      <w:r>
        <w:rPr>
          <w:rFonts w:hint="eastAsia" w:ascii="方正小标宋简体" w:hAnsi="方正小标宋简体" w:eastAsia="方正小标宋简体" w:cs="方正小标宋简体"/>
          <w:snapToGrid w:val="0"/>
          <w:color w:val="000000" w:themeColor="text1"/>
          <w:kern w:val="0"/>
          <w:sz w:val="44"/>
          <w:szCs w:val="44"/>
          <w:lang w:eastAsia="zh-CN"/>
          <w14:textFill>
            <w14:solidFill>
              <w14:schemeClr w14:val="tx1"/>
            </w14:solidFill>
          </w14:textFill>
        </w:rPr>
        <w:t>年度</w:t>
      </w:r>
      <w:r>
        <w:rPr>
          <w:rFonts w:hint="eastAsia" w:ascii="方正小标宋简体" w:hAnsi="方正小标宋简体" w:eastAsia="方正小标宋简体" w:cs="方正小标宋简体"/>
          <w:snapToGrid w:val="0"/>
          <w:color w:val="000000" w:themeColor="text1"/>
          <w:kern w:val="0"/>
          <w:sz w:val="44"/>
          <w:szCs w:val="44"/>
          <w14:textFill>
            <w14:solidFill>
              <w14:schemeClr w14:val="tx1"/>
            </w14:solidFill>
          </w14:textFill>
        </w:rPr>
        <w:t>报告</w:t>
      </w:r>
    </w:p>
    <w:p>
      <w:pPr>
        <w:pStyle w:val="6"/>
        <w:rPr>
          <w:rFonts w:hint="eastAsia"/>
          <w:lang w:eastAsia="zh-CN"/>
        </w:rPr>
      </w:pPr>
    </w:p>
    <w:p>
      <w:pPr>
        <w:pStyle w:val="6"/>
        <w:keepNext w:val="0"/>
        <w:keepLines w:val="0"/>
        <w:pageBreakBefore w:val="0"/>
        <w:widowControl/>
        <w:kinsoku/>
        <w:wordWrap/>
        <w:overflowPunct/>
        <w:topLinePunct w:val="0"/>
        <w:autoSpaceDE/>
        <w:autoSpaceDN/>
        <w:bidi w:val="0"/>
        <w:adjustRightInd/>
        <w:snapToGrid/>
        <w:spacing w:line="560" w:lineRule="exact"/>
        <w:ind w:left="0" w:leftChars="0" w:firstLine="659" w:firstLineChars="206"/>
        <w:textAlignment w:val="auto"/>
        <w:rPr>
          <w:rFonts w:hint="default" w:ascii="Times New Roman" w:hAnsi="Times New Roman" w:eastAsia="黑体" w:cs="Times New Roman"/>
          <w:color w:val="000000" w:themeColor="text1"/>
          <w:sz w:val="32"/>
          <w:szCs w:val="19"/>
          <w:shd w:val="clear" w:color="auto" w:fill="FFFFFF"/>
          <w:lang w:bidi="ar-SA"/>
          <w14:textFill>
            <w14:solidFill>
              <w14:schemeClr w14:val="tx1"/>
            </w14:solidFill>
          </w14:textFill>
        </w:rPr>
      </w:pPr>
      <w:r>
        <w:rPr>
          <w:rFonts w:hint="default" w:ascii="Times New Roman" w:hAnsi="Times New Roman" w:eastAsia="仿宋_GB2312" w:cs="Times New Roman"/>
          <w:i w:val="0"/>
          <w:iCs w:val="0"/>
          <w:caps w:val="0"/>
          <w:color w:val="000000" w:themeColor="text1"/>
          <w:spacing w:val="0"/>
          <w:sz w:val="32"/>
          <w:szCs w:val="32"/>
          <w:shd w:val="clear" w:fill="FFFFFF"/>
          <w14:textFill>
            <w14:solidFill>
              <w14:schemeClr w14:val="tx1"/>
            </w14:solidFill>
          </w14:textFill>
        </w:rPr>
        <w:t>按照《中华人民共和国政府信息公开条例》和</w:t>
      </w:r>
      <w:r>
        <w:rPr>
          <w:rFonts w:hint="default" w:ascii="Times New Roman" w:hAnsi="Times New Roman" w:eastAsia="仿宋_GB2312" w:cs="Times New Roman"/>
          <w:i w:val="0"/>
          <w:iCs w:val="0"/>
          <w:caps w:val="0"/>
          <w:color w:val="000000" w:themeColor="text1"/>
          <w:spacing w:val="0"/>
          <w:sz w:val="32"/>
          <w:szCs w:val="32"/>
          <w:shd w:val="clear" w:fill="FFFFFF"/>
          <w:lang w:val="en-US" w:eastAsia="zh-CN"/>
          <w14:textFill>
            <w14:solidFill>
              <w14:schemeClr w14:val="tx1"/>
            </w14:solidFill>
          </w14:textFill>
        </w:rPr>
        <w:t>区政务公开办</w:t>
      </w:r>
      <w:r>
        <w:rPr>
          <w:rFonts w:hint="default" w:ascii="Times New Roman" w:hAnsi="Times New Roman" w:eastAsia="仿宋_GB2312" w:cs="Times New Roman"/>
          <w:i w:val="0"/>
          <w:iCs w:val="0"/>
          <w:caps w:val="0"/>
          <w:color w:val="000000" w:themeColor="text1"/>
          <w:spacing w:val="0"/>
          <w:sz w:val="32"/>
          <w:szCs w:val="32"/>
          <w:shd w:val="clear" w:fill="FFFFFF"/>
          <w14:textFill>
            <w14:solidFill>
              <w14:schemeClr w14:val="tx1"/>
            </w14:solidFill>
          </w14:textFill>
        </w:rPr>
        <w:t>《关于规范编制发布2023年政府信息公开工作年度报告的通知》要求，特向社会公布</w:t>
      </w:r>
      <w:r>
        <w:rPr>
          <w:rFonts w:hint="default" w:ascii="Times New Roman" w:hAnsi="Times New Roman" w:eastAsia="仿宋_GB2312" w:cs="Times New Roman"/>
          <w:i w:val="0"/>
          <w:iCs w:val="0"/>
          <w:caps w:val="0"/>
          <w:color w:val="000000" w:themeColor="text1"/>
          <w:spacing w:val="0"/>
          <w:sz w:val="32"/>
          <w:szCs w:val="32"/>
          <w:shd w:val="clear" w:fill="FFFFFF"/>
          <w:lang w:val="en-US" w:eastAsia="zh-CN"/>
          <w14:textFill>
            <w14:solidFill>
              <w14:schemeClr w14:val="tx1"/>
            </w14:solidFill>
          </w14:textFill>
        </w:rPr>
        <w:t>广州市黄埔</w:t>
      </w:r>
      <w:r>
        <w:rPr>
          <w:rFonts w:hint="default" w:ascii="Times New Roman" w:hAnsi="Times New Roman" w:eastAsia="仿宋_GB2312" w:cs="Times New Roman"/>
          <w:i w:val="0"/>
          <w:iCs w:val="0"/>
          <w:caps w:val="0"/>
          <w:color w:val="000000" w:themeColor="text1"/>
          <w:spacing w:val="0"/>
          <w:sz w:val="32"/>
          <w:szCs w:val="32"/>
          <w:shd w:val="clear" w:fill="FFFFFF"/>
          <w14:textFill>
            <w14:solidFill>
              <w14:schemeClr w14:val="tx1"/>
            </w14:solidFill>
          </w14:textFill>
        </w:rPr>
        <w:t>区</w:t>
      </w:r>
      <w:r>
        <w:rPr>
          <w:rFonts w:hint="default" w:ascii="Times New Roman" w:hAnsi="Times New Roman" w:eastAsia="仿宋_GB2312" w:cs="Times New Roman"/>
          <w:i w:val="0"/>
          <w:iCs w:val="0"/>
          <w:caps w:val="0"/>
          <w:color w:val="000000" w:themeColor="text1"/>
          <w:spacing w:val="0"/>
          <w:sz w:val="32"/>
          <w:szCs w:val="32"/>
          <w:shd w:val="clear" w:fill="FFFFFF"/>
          <w:lang w:eastAsia="zh-CN"/>
          <w14:textFill>
            <w14:solidFill>
              <w14:schemeClr w14:val="tx1"/>
            </w14:solidFill>
          </w14:textFill>
        </w:rPr>
        <w:t>教育局</w:t>
      </w:r>
      <w:r>
        <w:rPr>
          <w:rFonts w:hint="default" w:ascii="Times New Roman" w:hAnsi="Times New Roman" w:eastAsia="仿宋_GB2312" w:cs="Times New Roman"/>
          <w:i w:val="0"/>
          <w:iCs w:val="0"/>
          <w:caps w:val="0"/>
          <w:color w:val="000000" w:themeColor="text1"/>
          <w:spacing w:val="0"/>
          <w:sz w:val="32"/>
          <w:szCs w:val="32"/>
          <w:shd w:val="clear" w:fill="FFFFFF"/>
          <w:lang w:val="en-US" w:eastAsia="zh-CN"/>
          <w14:textFill>
            <w14:solidFill>
              <w14:schemeClr w14:val="tx1"/>
            </w14:solidFill>
          </w14:textFill>
        </w:rPr>
        <w:t>2023</w:t>
      </w:r>
      <w:r>
        <w:rPr>
          <w:rFonts w:hint="default" w:ascii="Times New Roman" w:hAnsi="Times New Roman" w:eastAsia="仿宋_GB2312" w:cs="Times New Roman"/>
          <w:i w:val="0"/>
          <w:iCs w:val="0"/>
          <w:caps w:val="0"/>
          <w:color w:val="000000" w:themeColor="text1"/>
          <w:spacing w:val="0"/>
          <w:sz w:val="32"/>
          <w:szCs w:val="32"/>
          <w:shd w:val="clear" w:fill="FFFFFF"/>
          <w14:textFill>
            <w14:solidFill>
              <w14:schemeClr w14:val="tx1"/>
            </w14:solidFill>
          </w14:textFill>
        </w:rPr>
        <w:t>年政府信息公开</w:t>
      </w:r>
      <w:r>
        <w:rPr>
          <w:rFonts w:hint="default" w:ascii="Times New Roman" w:hAnsi="Times New Roman" w:eastAsia="仿宋_GB2312" w:cs="Times New Roman"/>
          <w:i w:val="0"/>
          <w:iCs w:val="0"/>
          <w:caps w:val="0"/>
          <w:color w:val="000000" w:themeColor="text1"/>
          <w:spacing w:val="0"/>
          <w:sz w:val="32"/>
          <w:szCs w:val="32"/>
          <w:shd w:val="clear" w:fill="FFFFFF"/>
          <w:lang w:val="en-US" w:eastAsia="zh-CN"/>
          <w14:textFill>
            <w14:solidFill>
              <w14:schemeClr w14:val="tx1"/>
            </w14:solidFill>
          </w14:textFill>
        </w:rPr>
        <w:t>工作年度</w:t>
      </w:r>
      <w:r>
        <w:rPr>
          <w:rFonts w:hint="default" w:ascii="Times New Roman" w:hAnsi="Times New Roman" w:eastAsia="仿宋_GB2312" w:cs="Times New Roman"/>
          <w:i w:val="0"/>
          <w:iCs w:val="0"/>
          <w:caps w:val="0"/>
          <w:color w:val="000000" w:themeColor="text1"/>
          <w:spacing w:val="0"/>
          <w:sz w:val="32"/>
          <w:szCs w:val="32"/>
          <w:shd w:val="clear" w:fill="FFFFFF"/>
          <w14:textFill>
            <w14:solidFill>
              <w14:schemeClr w14:val="tx1"/>
            </w14:solidFill>
          </w14:textFill>
        </w:rPr>
        <w:t>报告。</w:t>
      </w:r>
    </w:p>
    <w:p>
      <w:pPr>
        <w:pStyle w:val="5"/>
        <w:keepNext w:val="0"/>
        <w:keepLines w:val="0"/>
        <w:pageBreakBefore w:val="0"/>
        <w:widowControl/>
        <w:shd w:val="clear" w:color="auto" w:fill="FFFFFF"/>
        <w:kinsoku/>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color w:val="000000" w:themeColor="text1"/>
          <w:sz w:val="32"/>
          <w:szCs w:val="19"/>
          <w:lang w:bidi="ar-SA"/>
          <w14:textFill>
            <w14:solidFill>
              <w14:schemeClr w14:val="tx1"/>
            </w14:solidFill>
          </w14:textFill>
        </w:rPr>
      </w:pPr>
      <w:r>
        <w:rPr>
          <w:rFonts w:hint="default" w:ascii="Times New Roman" w:hAnsi="Times New Roman" w:eastAsia="黑体" w:cs="Times New Roman"/>
          <w:color w:val="000000" w:themeColor="text1"/>
          <w:sz w:val="32"/>
          <w:szCs w:val="19"/>
          <w:shd w:val="clear" w:color="auto" w:fill="FFFFFF"/>
          <w:lang w:bidi="ar-SA"/>
          <w14:textFill>
            <w14:solidFill>
              <w14:schemeClr w14:val="tx1"/>
            </w14:solidFill>
          </w14:textFill>
        </w:rPr>
        <w:t>一、总体情况</w:t>
      </w:r>
    </w:p>
    <w:p>
      <w:pPr>
        <w:pStyle w:val="5"/>
        <w:keepNext w:val="0"/>
        <w:keepLines w:val="0"/>
        <w:pageBreakBefore w:val="0"/>
        <w:shd w:val="clear" w:color="auto" w:fill="FFFFFF"/>
        <w:kinsoku/>
        <w:wordWrap w:val="0"/>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Times New Roman"/>
          <w:i w:val="0"/>
          <w:iCs w:val="0"/>
          <w:caps w:val="0"/>
          <w:color w:val="000000" w:themeColor="text1"/>
          <w:spacing w:val="0"/>
          <w:sz w:val="32"/>
          <w:szCs w:val="32"/>
          <w:shd w:val="clear" w:fill="FFFFFF"/>
          <w:lang w:val="en-US" w:eastAsia="zh-CN"/>
          <w14:textFill>
            <w14:solidFill>
              <w14:schemeClr w14:val="tx1"/>
            </w14:solidFill>
          </w14:textFill>
        </w:rPr>
      </w:pPr>
      <w:r>
        <w:rPr>
          <w:rFonts w:hint="default" w:ascii="Times New Roman" w:hAnsi="Times New Roman" w:eastAsia="楷体" w:cs="Times New Roman"/>
          <w:i w:val="0"/>
          <w:iCs w:val="0"/>
          <w:caps w:val="0"/>
          <w:color w:val="000000" w:themeColor="text1"/>
          <w:spacing w:val="0"/>
          <w:sz w:val="32"/>
          <w:szCs w:val="32"/>
          <w:shd w:val="clear" w:fill="FFFFFF"/>
          <w:lang w:val="en-US" w:eastAsia="zh-CN"/>
          <w14:textFill>
            <w14:solidFill>
              <w14:schemeClr w14:val="tx1"/>
            </w14:solidFill>
          </w14:textFill>
        </w:rPr>
        <w:t>（一）主动公开情况。</w:t>
      </w:r>
      <w:r>
        <w:rPr>
          <w:rFonts w:hint="default" w:ascii="Times New Roman" w:hAnsi="Times New Roman" w:eastAsia="仿宋_GB2312" w:cs="Times New Roman"/>
          <w:i w:val="0"/>
          <w:iCs w:val="0"/>
          <w:caps w:val="0"/>
          <w:color w:val="000000" w:themeColor="text1"/>
          <w:spacing w:val="0"/>
          <w:sz w:val="32"/>
          <w:szCs w:val="32"/>
          <w:shd w:val="clear" w:fill="FFFFFF"/>
          <w:lang w:val="en-US" w:eastAsia="zh-CN"/>
          <w14:textFill>
            <w14:solidFill>
              <w14:schemeClr w14:val="tx1"/>
            </w14:solidFill>
          </w14:textFill>
        </w:rPr>
        <w:t>按要求定期更新教育、教育信息、民生重点、义务教育领域等各项栏目。</w:t>
      </w:r>
      <w:r>
        <w:rPr>
          <w:rFonts w:hint="default" w:ascii="Times New Roman" w:hAnsi="Times New Roman" w:eastAsia="仿宋_GB2312" w:cs="Times New Roman"/>
          <w:sz w:val="32"/>
          <w:szCs w:val="32"/>
          <w:shd w:val="clear" w:color="auto" w:fill="FFFFFF"/>
        </w:rPr>
        <w:t>全年主动公开各类文件信息</w:t>
      </w:r>
      <w:r>
        <w:rPr>
          <w:rFonts w:hint="default" w:ascii="Times New Roman" w:hAnsi="Times New Roman" w:eastAsia="仿宋_GB2312" w:cs="Times New Roman"/>
          <w:sz w:val="32"/>
          <w:szCs w:val="32"/>
          <w:shd w:val="clear" w:color="auto" w:fill="FFFFFF"/>
          <w:lang w:val="en-US" w:eastAsia="zh-CN"/>
        </w:rPr>
        <w:t>623</w:t>
      </w:r>
      <w:r>
        <w:rPr>
          <w:rFonts w:hint="default" w:ascii="Times New Roman" w:hAnsi="Times New Roman" w:eastAsia="仿宋_GB2312" w:cs="Times New Roman"/>
          <w:sz w:val="32"/>
          <w:szCs w:val="32"/>
          <w:shd w:val="clear" w:color="auto" w:fill="FFFFFF"/>
        </w:rPr>
        <w:t>条</w:t>
      </w:r>
      <w:r>
        <w:rPr>
          <w:rFonts w:hint="default" w:ascii="Times New Roman" w:hAnsi="Times New Roman" w:eastAsia="仿宋_GB2312" w:cs="Times New Roman"/>
          <w:snapToGrid w:val="0"/>
          <w:sz w:val="32"/>
          <w:szCs w:val="32"/>
        </w:rPr>
        <w:t>，其中组织机构3条，部门文件</w:t>
      </w:r>
      <w:r>
        <w:rPr>
          <w:rFonts w:hint="default" w:ascii="Times New Roman" w:hAnsi="Times New Roman" w:eastAsia="仿宋_GB2312" w:cs="Times New Roman"/>
          <w:snapToGrid w:val="0"/>
          <w:sz w:val="32"/>
          <w:szCs w:val="32"/>
          <w:lang w:val="en-US" w:eastAsia="zh-CN"/>
        </w:rPr>
        <w:t>119</w:t>
      </w:r>
      <w:r>
        <w:rPr>
          <w:rFonts w:hint="default" w:ascii="Times New Roman" w:hAnsi="Times New Roman" w:eastAsia="仿宋_GB2312" w:cs="Times New Roman"/>
          <w:snapToGrid w:val="0"/>
          <w:sz w:val="32"/>
          <w:szCs w:val="32"/>
        </w:rPr>
        <w:t>条，行政执法</w:t>
      </w:r>
      <w:r>
        <w:rPr>
          <w:rFonts w:hint="default" w:ascii="Times New Roman" w:hAnsi="Times New Roman" w:eastAsia="仿宋_GB2312" w:cs="Times New Roman"/>
          <w:snapToGrid w:val="0"/>
          <w:sz w:val="32"/>
          <w:szCs w:val="32"/>
          <w:lang w:val="en-US" w:eastAsia="zh-CN"/>
        </w:rPr>
        <w:t>135</w:t>
      </w:r>
      <w:r>
        <w:rPr>
          <w:rFonts w:hint="default" w:ascii="Times New Roman" w:hAnsi="Times New Roman" w:eastAsia="仿宋_GB2312" w:cs="Times New Roman"/>
          <w:snapToGrid w:val="0"/>
          <w:sz w:val="32"/>
          <w:szCs w:val="32"/>
        </w:rPr>
        <w:t>条，工作动态</w:t>
      </w:r>
      <w:r>
        <w:rPr>
          <w:rFonts w:hint="default" w:ascii="Times New Roman" w:hAnsi="Times New Roman" w:eastAsia="仿宋_GB2312" w:cs="Times New Roman"/>
          <w:snapToGrid w:val="0"/>
          <w:sz w:val="32"/>
          <w:szCs w:val="32"/>
          <w:lang w:val="en-US" w:eastAsia="zh-CN"/>
        </w:rPr>
        <w:t>60</w:t>
      </w:r>
      <w:r>
        <w:rPr>
          <w:rFonts w:hint="default" w:ascii="Times New Roman" w:hAnsi="Times New Roman" w:eastAsia="仿宋_GB2312" w:cs="Times New Roman"/>
          <w:snapToGrid w:val="0"/>
          <w:sz w:val="32"/>
          <w:szCs w:val="32"/>
        </w:rPr>
        <w:t>条，财政预决算</w:t>
      </w:r>
      <w:r>
        <w:rPr>
          <w:rFonts w:hint="default" w:ascii="Times New Roman" w:hAnsi="Times New Roman" w:eastAsia="仿宋_GB2312" w:cs="Times New Roman"/>
          <w:snapToGrid w:val="0"/>
          <w:sz w:val="32"/>
          <w:szCs w:val="32"/>
          <w:lang w:val="en-US" w:eastAsia="zh-CN"/>
        </w:rPr>
        <w:t>236</w:t>
      </w:r>
      <w:r>
        <w:rPr>
          <w:rFonts w:hint="default" w:ascii="Times New Roman" w:hAnsi="Times New Roman" w:eastAsia="仿宋_GB2312" w:cs="Times New Roman"/>
          <w:snapToGrid w:val="0"/>
          <w:sz w:val="32"/>
          <w:szCs w:val="32"/>
        </w:rPr>
        <w:t>条，</w:t>
      </w:r>
      <w:r>
        <w:rPr>
          <w:rFonts w:hint="default" w:ascii="Times New Roman" w:hAnsi="Times New Roman" w:eastAsia="仿宋_GB2312" w:cs="Times New Roman"/>
          <w:snapToGrid w:val="0"/>
          <w:sz w:val="32"/>
          <w:szCs w:val="32"/>
          <w:lang w:eastAsia="zh-CN"/>
        </w:rPr>
        <w:t>最新信息公开</w:t>
      </w:r>
      <w:r>
        <w:rPr>
          <w:rFonts w:hint="default" w:ascii="Times New Roman" w:hAnsi="Times New Roman" w:eastAsia="仿宋_GB2312" w:cs="Times New Roman"/>
          <w:snapToGrid w:val="0"/>
          <w:sz w:val="32"/>
          <w:szCs w:val="32"/>
          <w:lang w:val="en-US" w:eastAsia="zh-CN"/>
        </w:rPr>
        <w:t>68条，</w:t>
      </w:r>
      <w:r>
        <w:rPr>
          <w:rFonts w:hint="default" w:ascii="Times New Roman" w:hAnsi="Times New Roman" w:eastAsia="仿宋_GB2312" w:cs="Times New Roman"/>
          <w:snapToGrid w:val="0"/>
          <w:sz w:val="32"/>
          <w:szCs w:val="32"/>
        </w:rPr>
        <w:t>政府信息公开年报1条</w:t>
      </w:r>
      <w:r>
        <w:rPr>
          <w:rFonts w:hint="default" w:ascii="Times New Roman" w:hAnsi="Times New Roman" w:eastAsia="仿宋_GB2312" w:cs="Times New Roman"/>
          <w:snapToGrid w:val="0"/>
          <w:sz w:val="32"/>
          <w:szCs w:val="32"/>
          <w:lang w:eastAsia="zh-CN"/>
        </w:rPr>
        <w:t>，</w:t>
      </w:r>
      <w:r>
        <w:rPr>
          <w:rFonts w:hint="default" w:ascii="Times New Roman" w:hAnsi="Times New Roman" w:eastAsia="仿宋_GB2312" w:cs="Times New Roman"/>
          <w:i w:val="0"/>
          <w:iCs w:val="0"/>
          <w:caps w:val="0"/>
          <w:color w:val="000000" w:themeColor="text1"/>
          <w:spacing w:val="0"/>
          <w:sz w:val="32"/>
          <w:szCs w:val="32"/>
          <w:shd w:val="clear" w:fill="FFFFFF"/>
          <w:lang w:val="en-US" w:eastAsia="zh-CN"/>
          <w14:textFill>
            <w14:solidFill>
              <w14:schemeClr w14:val="tx1"/>
            </w14:solidFill>
          </w14:textFill>
        </w:rPr>
        <w:t>制发规范性文件1份。</w:t>
      </w:r>
    </w:p>
    <w:p>
      <w:pPr>
        <w:pStyle w:val="5"/>
        <w:keepNext w:val="0"/>
        <w:keepLines w:val="0"/>
        <w:pageBreakBefore w:val="0"/>
        <w:shd w:val="clear" w:color="auto" w:fill="FFFFFF"/>
        <w:kinsoku/>
        <w:wordWrap w:val="0"/>
        <w:overflowPunct/>
        <w:topLinePunct w:val="0"/>
        <w:autoSpaceDE/>
        <w:autoSpaceDN/>
        <w:bidi w:val="0"/>
        <w:adjustRightInd/>
        <w:snapToGrid/>
        <w:spacing w:beforeAutospacing="0" w:afterAutospacing="0" w:line="240" w:lineRule="auto"/>
        <w:ind w:firstLine="480"/>
        <w:textAlignment w:val="auto"/>
        <w:rPr>
          <w:rFonts w:hint="default" w:ascii="Times New Roman" w:hAnsi="Times New Roman" w:eastAsia="楷体" w:cs="Times New Roman"/>
          <w:i w:val="0"/>
          <w:iCs w:val="0"/>
          <w:caps w:val="0"/>
          <w:color w:val="000000" w:themeColor="text1"/>
          <w:spacing w:val="0"/>
          <w:sz w:val="32"/>
          <w:szCs w:val="32"/>
          <w:shd w:val="clear" w:fill="FFFFFF"/>
          <w:lang w:val="en-US" w:eastAsia="zh-CN"/>
          <w14:textFill>
            <w14:solidFill>
              <w14:schemeClr w14:val="tx1"/>
            </w14:solidFill>
          </w14:textFill>
        </w:rPr>
      </w:pPr>
      <w:r>
        <w:rPr>
          <w:rFonts w:hint="eastAsia"/>
          <w:lang w:val="en-US" w:eastAsia="zh-CN"/>
        </w:rPr>
        <w:t xml:space="preserve"> </w:t>
      </w:r>
      <w:r>
        <w:drawing>
          <wp:inline distT="0" distB="0" distL="114300" distR="114300">
            <wp:extent cx="4826000" cy="2743200"/>
            <wp:effectExtent l="4445" t="4445" r="8255" b="14605"/>
            <wp:docPr id="9" name="图表 8" descr="7b0a202020202263686172745265734964223a20223230343736303836220a7d0a"/>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pPr>
        <w:pStyle w:val="5"/>
        <w:keepNext w:val="0"/>
        <w:keepLines w:val="0"/>
        <w:pageBreakBefore w:val="0"/>
        <w:widowControl w:val="0"/>
        <w:shd w:val="clear" w:color="auto" w:fill="FFFFFF"/>
        <w:kinsoku/>
        <w:wordWrap w:val="0"/>
        <w:overflowPunct/>
        <w:topLinePunct w:val="0"/>
        <w:autoSpaceDE/>
        <w:autoSpaceDN/>
        <w:bidi w:val="0"/>
        <w:adjustRightInd/>
        <w:snapToGrid/>
        <w:spacing w:beforeAutospacing="0" w:afterAutospacing="0" w:line="560" w:lineRule="exact"/>
        <w:ind w:firstLine="482"/>
        <w:textAlignment w:val="auto"/>
        <w:rPr>
          <w:rFonts w:hint="default"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pPr>
      <w:r>
        <w:rPr>
          <w:rFonts w:hint="default" w:ascii="Times New Roman" w:hAnsi="Times New Roman" w:eastAsia="楷体" w:cs="Times New Roman"/>
          <w:i w:val="0"/>
          <w:iCs w:val="0"/>
          <w:caps w:val="0"/>
          <w:color w:val="000000" w:themeColor="text1"/>
          <w:spacing w:val="0"/>
          <w:sz w:val="32"/>
          <w:szCs w:val="32"/>
          <w:shd w:val="clear" w:fill="FFFFFF"/>
          <w:lang w:val="en-US" w:eastAsia="zh-CN"/>
          <w14:textFill>
            <w14:solidFill>
              <w14:schemeClr w14:val="tx1"/>
            </w14:solidFill>
          </w14:textFill>
        </w:rPr>
        <w:t>（二）依申请公开情况。</w:t>
      </w:r>
      <w:r>
        <w:rPr>
          <w:rFonts w:hint="default" w:ascii="Times New Roman" w:hAnsi="Times New Roman" w:eastAsia="仿宋_GB2312" w:cs="Times New Roman"/>
          <w:i w:val="0"/>
          <w:iCs w:val="0"/>
          <w:caps w:val="0"/>
          <w:color w:val="000000" w:themeColor="text1"/>
          <w:spacing w:val="0"/>
          <w:sz w:val="32"/>
          <w:szCs w:val="32"/>
          <w:shd w:val="clear" w:fill="FFFFFF"/>
          <w:lang w:val="en-US" w:eastAsia="zh-CN"/>
          <w14:textFill>
            <w14:solidFill>
              <w14:schemeClr w14:val="tx1"/>
            </w14:solidFill>
          </w14:textFill>
        </w:rPr>
        <w:t>依法依规推进依申请公开，促进依法行政。畅通受理渠道，规范答复意见，不断提升依申</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请公开办理质量。全年收到政府信息公开申请28件，办结28件，</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按时办结率100%</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结转下年办理0件。</w:t>
      </w:r>
    </w:p>
    <w:p>
      <w:pPr>
        <w:pStyle w:val="6"/>
        <w:keepNext w:val="0"/>
        <w:keepLines w:val="0"/>
        <w:pageBreakBefore w:val="0"/>
        <w:widowControl/>
        <w:kinsoku/>
        <w:wordWrap/>
        <w:overflowPunct/>
        <w:topLinePunct w:val="0"/>
        <w:autoSpaceDE/>
        <w:autoSpaceDN/>
        <w:bidi w:val="0"/>
        <w:adjustRightInd/>
        <w:snapToGrid/>
        <w:spacing w:line="240" w:lineRule="auto"/>
        <w:ind w:left="0" w:leftChars="0" w:firstLine="432" w:firstLineChars="206"/>
        <w:textAlignment w:val="auto"/>
        <w:rPr>
          <w:rFonts w:hint="default" w:ascii="Times New Roman" w:hAnsi="Times New Roman" w:eastAsia="楷体" w:cs="Times New Roman"/>
          <w:i w:val="0"/>
          <w:iCs w:val="0"/>
          <w:caps w:val="0"/>
          <w:color w:val="000000" w:themeColor="text1"/>
          <w:spacing w:val="0"/>
          <w:sz w:val="32"/>
          <w:szCs w:val="32"/>
          <w:shd w:val="clear" w:fill="FFFFFF"/>
          <w:lang w:val="en-US" w:eastAsia="zh-CN"/>
          <w14:textFill>
            <w14:solidFill>
              <w14:schemeClr w14:val="tx1"/>
            </w14:solidFill>
          </w14:textFill>
        </w:rPr>
      </w:pPr>
      <w:r>
        <w:rPr>
          <w:rFonts w:hint="eastAsia"/>
          <w:lang w:val="en-US" w:eastAsia="zh-CN"/>
        </w:rPr>
        <w:t xml:space="preserve">   </w:t>
      </w:r>
      <w:r>
        <w:drawing>
          <wp:inline distT="0" distB="0" distL="114300" distR="114300">
            <wp:extent cx="4826000" cy="2743200"/>
            <wp:effectExtent l="4445" t="4445" r="8255" b="52705"/>
            <wp:docPr id="4" name="图表 3" descr="7b0a202020202263686172745265734964223a20223230343736303932220a7d0a"/>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pPr>
        <w:pStyle w:val="6"/>
        <w:keepNext w:val="0"/>
        <w:keepLines w:val="0"/>
        <w:pageBreakBefore w:val="0"/>
        <w:widowControl/>
        <w:kinsoku/>
        <w:wordWrap/>
        <w:overflowPunct/>
        <w:topLinePunct w:val="0"/>
        <w:autoSpaceDE/>
        <w:autoSpaceDN/>
        <w:bidi w:val="0"/>
        <w:adjustRightInd/>
        <w:snapToGrid/>
        <w:spacing w:line="560" w:lineRule="exact"/>
        <w:ind w:left="0" w:leftChars="0" w:firstLine="659" w:firstLineChars="206"/>
        <w:textAlignment w:val="auto"/>
        <w:rPr>
          <w:rFonts w:hint="default" w:ascii="Times New Roman" w:hAnsi="Times New Roman" w:eastAsia="仿宋_GB2312" w:cs="Times New Roman"/>
          <w:i w:val="0"/>
          <w:iCs w:val="0"/>
          <w:caps w:val="0"/>
          <w:color w:val="000000" w:themeColor="text1"/>
          <w:spacing w:val="0"/>
          <w:sz w:val="32"/>
          <w:szCs w:val="32"/>
          <w:shd w:val="clear" w:fill="FFFFFF"/>
          <w:lang w:val="en-US" w:eastAsia="zh-CN"/>
          <w14:textFill>
            <w14:solidFill>
              <w14:schemeClr w14:val="tx1"/>
            </w14:solidFill>
          </w14:textFill>
        </w:rPr>
      </w:pPr>
      <w:r>
        <w:rPr>
          <w:rFonts w:hint="default" w:ascii="Times New Roman" w:hAnsi="Times New Roman" w:eastAsia="楷体" w:cs="Times New Roman"/>
          <w:i w:val="0"/>
          <w:iCs w:val="0"/>
          <w:caps w:val="0"/>
          <w:color w:val="000000" w:themeColor="text1"/>
          <w:spacing w:val="0"/>
          <w:sz w:val="32"/>
          <w:szCs w:val="32"/>
          <w:shd w:val="clear" w:fill="FFFFFF"/>
          <w:lang w:val="en-US" w:eastAsia="zh-CN"/>
          <w14:textFill>
            <w14:solidFill>
              <w14:schemeClr w14:val="tx1"/>
            </w14:solidFill>
          </w14:textFill>
        </w:rPr>
        <w:t>（三）政府信息管理情况。</w:t>
      </w:r>
      <w:r>
        <w:rPr>
          <w:rFonts w:hint="default" w:ascii="Times New Roman" w:hAnsi="Times New Roman" w:eastAsia="仿宋_GB2312" w:cs="Times New Roman"/>
          <w:i w:val="0"/>
          <w:iCs w:val="0"/>
          <w:caps w:val="0"/>
          <w:color w:val="000000" w:themeColor="text1"/>
          <w:spacing w:val="0"/>
          <w:sz w:val="32"/>
          <w:szCs w:val="32"/>
          <w:shd w:val="clear" w:fill="FFFFFF"/>
          <w:lang w:val="en-US" w:eastAsia="zh-CN"/>
          <w14:textFill>
            <w14:solidFill>
              <w14:schemeClr w14:val="tx1"/>
            </w14:solidFill>
          </w14:textFill>
        </w:rPr>
        <w:t>按照“公开是普遍、不公开是例外”“涉密信息不上网，上网信息不涉密”的原则，对全年制作和保存的</w:t>
      </w:r>
      <w:r>
        <w:rPr>
          <w:rFonts w:hint="eastAsia" w:ascii="Times New Roman" w:hAnsi="Times New Roman" w:eastAsia="仿宋_GB2312" w:cs="Times New Roman"/>
          <w:i w:val="0"/>
          <w:iCs w:val="0"/>
          <w:caps w:val="0"/>
          <w:color w:val="000000" w:themeColor="text1"/>
          <w:spacing w:val="0"/>
          <w:sz w:val="32"/>
          <w:szCs w:val="32"/>
          <w:shd w:val="clear" w:fill="FFFFFF"/>
          <w:lang w:val="en-US" w:eastAsia="zh-CN"/>
          <w14:textFill>
            <w14:solidFill>
              <w14:schemeClr w14:val="tx1"/>
            </w14:solidFill>
          </w14:textFill>
        </w:rPr>
        <w:t>政府</w:t>
      </w:r>
      <w:r>
        <w:rPr>
          <w:rFonts w:hint="default" w:ascii="Times New Roman" w:hAnsi="Times New Roman" w:eastAsia="仿宋_GB2312" w:cs="Times New Roman"/>
          <w:i w:val="0"/>
          <w:iCs w:val="0"/>
          <w:caps w:val="0"/>
          <w:color w:val="000000" w:themeColor="text1"/>
          <w:spacing w:val="0"/>
          <w:sz w:val="32"/>
          <w:szCs w:val="32"/>
          <w:shd w:val="clear" w:fill="FFFFFF"/>
          <w:lang w:val="en-US" w:eastAsia="zh-CN"/>
          <w14:textFill>
            <w14:solidFill>
              <w14:schemeClr w14:val="tx1"/>
            </w14:solidFill>
          </w14:textFill>
        </w:rPr>
        <w:t>信息进行全面梳理。严格政府信息公开审查机制，坚决落实保密审查，所有公开信息均经过严格审核程序后挂网公布。</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pPr>
      <w:r>
        <w:rPr>
          <w:rFonts w:hint="default" w:ascii="Times New Roman" w:hAnsi="Times New Roman" w:eastAsia="楷体" w:cs="Times New Roman"/>
          <w:i w:val="0"/>
          <w:iCs w:val="0"/>
          <w:caps w:val="0"/>
          <w:color w:val="000000" w:themeColor="text1"/>
          <w:spacing w:val="0"/>
          <w:sz w:val="32"/>
          <w:szCs w:val="32"/>
          <w:shd w:val="clear" w:fill="FFFFFF"/>
          <w:lang w:val="en-US" w:eastAsia="zh-CN"/>
          <w14:textFill>
            <w14:solidFill>
              <w14:schemeClr w14:val="tx1"/>
            </w14:solidFill>
          </w14:textFill>
        </w:rPr>
        <w:t>（四）平台建设情况。</w:t>
      </w:r>
      <w:r>
        <w:rPr>
          <w:rFonts w:hint="default" w:ascii="Times New Roman" w:hAnsi="Times New Roman" w:eastAsia="仿宋_GB2312" w:cs="Times New Roman"/>
          <w:color w:val="000000" w:themeColor="text1"/>
          <w:sz w:val="32"/>
          <w:szCs w:val="32"/>
          <w:shd w:val="clear" w:color="auto" w:fill="FFFFFF"/>
          <w:lang w:bidi="ar-SA"/>
          <w14:textFill>
            <w14:solidFill>
              <w14:schemeClr w14:val="tx1"/>
            </w14:solidFill>
          </w14:textFill>
        </w:rPr>
        <w:t>在做好门户网站信息公开工作的基础上，积极发挥“</w:t>
      </w:r>
      <w:r>
        <w:rPr>
          <w:rFonts w:hint="default" w:ascii="Times New Roman" w:hAnsi="Times New Roman" w:eastAsia="仿宋_GB2312" w:cs="Times New Roman"/>
          <w:color w:val="000000" w:themeColor="text1"/>
          <w:sz w:val="32"/>
          <w:szCs w:val="32"/>
          <w:shd w:val="clear" w:color="auto" w:fill="FFFFFF"/>
          <w:lang w:eastAsia="zh-CN" w:bidi="ar-SA"/>
          <w14:textFill>
            <w14:solidFill>
              <w14:schemeClr w14:val="tx1"/>
            </w14:solidFill>
          </w14:textFill>
        </w:rPr>
        <w:t>广州黄埔</w:t>
      </w:r>
      <w:r>
        <w:rPr>
          <w:rFonts w:hint="default" w:ascii="Times New Roman" w:hAnsi="Times New Roman" w:eastAsia="仿宋_GB2312" w:cs="Times New Roman"/>
          <w:color w:val="000000" w:themeColor="text1"/>
          <w:sz w:val="32"/>
          <w:szCs w:val="32"/>
          <w:shd w:val="clear" w:color="auto" w:fill="FFFFFF"/>
          <w:lang w:bidi="ar-SA"/>
          <w14:textFill>
            <w14:solidFill>
              <w14:schemeClr w14:val="tx1"/>
            </w14:solidFill>
          </w14:textFill>
        </w:rPr>
        <w:t>教育”微信</w:t>
      </w:r>
      <w:r>
        <w:rPr>
          <w:rFonts w:hint="default" w:ascii="Times New Roman" w:hAnsi="Times New Roman" w:eastAsia="仿宋_GB2312" w:cs="Times New Roman"/>
          <w:color w:val="000000" w:themeColor="text1"/>
          <w:sz w:val="32"/>
          <w:szCs w:val="32"/>
          <w:shd w:val="clear" w:color="auto" w:fill="FFFFFF"/>
          <w:lang w:eastAsia="zh-CN" w:bidi="ar-SA"/>
          <w14:textFill>
            <w14:solidFill>
              <w14:schemeClr w14:val="tx1"/>
            </w14:solidFill>
          </w14:textFill>
        </w:rPr>
        <w:t>公众号</w:t>
      </w:r>
      <w:r>
        <w:rPr>
          <w:rFonts w:hint="default" w:ascii="Times New Roman" w:hAnsi="Times New Roman" w:eastAsia="仿宋_GB2312" w:cs="Times New Roman"/>
          <w:color w:val="000000" w:themeColor="text1"/>
          <w:sz w:val="32"/>
          <w:szCs w:val="32"/>
          <w:shd w:val="clear" w:color="auto" w:fill="FFFFFF"/>
          <w:lang w:bidi="ar-SA"/>
          <w14:textFill>
            <w14:solidFill>
              <w14:schemeClr w14:val="tx1"/>
            </w14:solidFill>
          </w14:textFill>
        </w:rPr>
        <w:t>在信息发布、政策解读、宣传引导方面的作用，不断健全政府信息公开渠道，全年通过微信</w:t>
      </w:r>
      <w:r>
        <w:rPr>
          <w:rFonts w:hint="default" w:ascii="Times New Roman" w:hAnsi="Times New Roman" w:eastAsia="仿宋_GB2312" w:cs="Times New Roman"/>
          <w:color w:val="000000" w:themeColor="text1"/>
          <w:sz w:val="32"/>
          <w:szCs w:val="32"/>
          <w:shd w:val="clear" w:color="auto" w:fill="FFFFFF"/>
          <w:lang w:eastAsia="zh-CN" w:bidi="ar-SA"/>
          <w14:textFill>
            <w14:solidFill>
              <w14:schemeClr w14:val="tx1"/>
            </w14:solidFill>
          </w14:textFill>
        </w:rPr>
        <w:t>公众号</w:t>
      </w:r>
      <w:r>
        <w:rPr>
          <w:rFonts w:hint="default" w:ascii="Times New Roman" w:hAnsi="Times New Roman" w:eastAsia="仿宋_GB2312" w:cs="Times New Roman"/>
          <w:color w:val="000000" w:themeColor="text1"/>
          <w:sz w:val="32"/>
          <w:szCs w:val="32"/>
          <w:shd w:val="clear" w:color="auto" w:fill="FFFFFF"/>
          <w:lang w:bidi="ar-SA"/>
          <w14:textFill>
            <w14:solidFill>
              <w14:schemeClr w14:val="tx1"/>
            </w14:solidFill>
          </w14:textFill>
        </w:rPr>
        <w:t>发布图文推送</w:t>
      </w:r>
      <w:r>
        <w:rPr>
          <w:rFonts w:hint="default" w:ascii="Times New Roman" w:hAnsi="Times New Roman" w:eastAsia="仿宋_GB2312" w:cs="Times New Roman"/>
          <w:color w:val="000000" w:themeColor="text1"/>
          <w:sz w:val="32"/>
          <w:szCs w:val="32"/>
          <w:shd w:val="clear" w:color="auto" w:fill="FFFFFF"/>
          <w:lang w:val="en-US" w:eastAsia="zh-CN" w:bidi="ar-SA"/>
          <w14:textFill>
            <w14:solidFill>
              <w14:schemeClr w14:val="tx1"/>
            </w14:solidFill>
          </w14:textFill>
        </w:rPr>
        <w:t>1080</w:t>
      </w:r>
      <w:r>
        <w:rPr>
          <w:rFonts w:hint="default" w:ascii="Times New Roman" w:hAnsi="Times New Roman" w:eastAsia="仿宋_GB2312" w:cs="Times New Roman"/>
          <w:color w:val="000000" w:themeColor="text1"/>
          <w:sz w:val="32"/>
          <w:szCs w:val="32"/>
          <w:shd w:val="clear" w:color="auto" w:fill="FFFFFF"/>
          <w:lang w:bidi="ar-SA"/>
          <w14:textFill>
            <w14:solidFill>
              <w14:schemeClr w14:val="tx1"/>
            </w14:solidFill>
          </w14:textFill>
        </w:rPr>
        <w:t>条，</w:t>
      </w:r>
      <w:r>
        <w:rPr>
          <w:rFonts w:hint="default" w:ascii="Times New Roman" w:hAnsi="Times New Roman" w:eastAsia="仿宋_GB2312" w:cs="Times New Roman"/>
          <w:color w:val="000000" w:themeColor="text1"/>
          <w:sz w:val="32"/>
          <w:szCs w:val="32"/>
          <w:shd w:val="clear" w:color="auto" w:fill="FFFFFF"/>
          <w:lang w:eastAsia="zh-CN" w:bidi="ar-SA"/>
          <w14:textFill>
            <w14:solidFill>
              <w14:schemeClr w14:val="tx1"/>
            </w14:solidFill>
          </w14:textFill>
        </w:rPr>
        <w:t>公众号订阅人数</w:t>
      </w:r>
      <w:r>
        <w:rPr>
          <w:rFonts w:hint="eastAsia" w:ascii="Times New Roman" w:hAnsi="Times New Roman" w:eastAsia="仿宋_GB2312" w:cs="Times New Roman"/>
          <w:color w:val="000000" w:themeColor="text1"/>
          <w:sz w:val="32"/>
          <w:szCs w:val="32"/>
          <w:shd w:val="clear" w:color="auto" w:fill="FFFFFF"/>
          <w:lang w:val="en-US" w:eastAsia="zh-CN" w:bidi="ar-SA"/>
          <w14:textFill>
            <w14:solidFill>
              <w14:schemeClr w14:val="tx1"/>
            </w14:solidFill>
          </w14:textFill>
        </w:rPr>
        <w:t>16.45万人，同比</w:t>
      </w:r>
      <w:r>
        <w:rPr>
          <w:rFonts w:hint="default" w:ascii="Times New Roman" w:hAnsi="Times New Roman" w:eastAsia="仿宋_GB2312" w:cs="Times New Roman"/>
          <w:color w:val="000000" w:themeColor="text1"/>
          <w:sz w:val="32"/>
          <w:szCs w:val="32"/>
          <w:shd w:val="clear" w:color="auto" w:fill="FFFFFF"/>
          <w:lang w:eastAsia="zh-CN" w:bidi="ar-SA"/>
          <w14:textFill>
            <w14:solidFill>
              <w14:schemeClr w14:val="tx1"/>
            </w14:solidFill>
          </w14:textFill>
        </w:rPr>
        <w:t>上升约</w:t>
      </w:r>
      <w:r>
        <w:rPr>
          <w:rFonts w:hint="default" w:ascii="Times New Roman" w:hAnsi="Times New Roman" w:eastAsia="仿宋_GB2312" w:cs="Times New Roman"/>
          <w:color w:val="000000" w:themeColor="text1"/>
          <w:sz w:val="32"/>
          <w:szCs w:val="32"/>
          <w:shd w:val="clear" w:color="auto" w:fill="FFFFFF"/>
          <w:lang w:val="en-US" w:eastAsia="zh-CN" w:bidi="ar-SA"/>
          <w14:textFill>
            <w14:solidFill>
              <w14:schemeClr w14:val="tx1"/>
            </w14:solidFill>
          </w14:textFill>
        </w:rPr>
        <w:t>25%，累计阅读量</w:t>
      </w:r>
      <w:r>
        <w:rPr>
          <w:rFonts w:hint="eastAsia" w:ascii="Times New Roman" w:hAnsi="Times New Roman" w:eastAsia="仿宋_GB2312" w:cs="Times New Roman"/>
          <w:color w:val="000000" w:themeColor="text1"/>
          <w:sz w:val="32"/>
          <w:szCs w:val="32"/>
          <w:shd w:val="clear" w:color="auto" w:fill="FFFFFF"/>
          <w:lang w:val="en-US" w:eastAsia="zh-CN" w:bidi="ar-SA"/>
          <w14:textFill>
            <w14:solidFill>
              <w14:schemeClr w14:val="tx1"/>
            </w14:solidFill>
          </w14:textFill>
        </w:rPr>
        <w:t>661.76万次，同比</w:t>
      </w:r>
      <w:r>
        <w:rPr>
          <w:rFonts w:hint="default" w:ascii="Times New Roman" w:hAnsi="Times New Roman" w:eastAsia="仿宋_GB2312" w:cs="Times New Roman"/>
          <w:color w:val="000000" w:themeColor="text1"/>
          <w:sz w:val="32"/>
          <w:szCs w:val="32"/>
          <w:shd w:val="clear" w:color="auto" w:fill="FFFFFF"/>
          <w:lang w:val="en-US" w:eastAsia="zh-CN" w:bidi="ar-SA"/>
          <w14:textFill>
            <w14:solidFill>
              <w14:schemeClr w14:val="tx1"/>
            </w14:solidFill>
          </w14:textFill>
        </w:rPr>
        <w:t>上升约</w:t>
      </w:r>
      <w:r>
        <w:rPr>
          <w:rFonts w:hint="eastAsia" w:ascii="Times New Roman" w:hAnsi="Times New Roman" w:eastAsia="仿宋_GB2312" w:cs="Times New Roman"/>
          <w:color w:val="000000" w:themeColor="text1"/>
          <w:sz w:val="32"/>
          <w:szCs w:val="32"/>
          <w:shd w:val="clear" w:color="auto" w:fill="FFFFFF"/>
          <w:lang w:val="en-US" w:eastAsia="zh-CN" w:bidi="ar-SA"/>
          <w14:textFill>
            <w14:solidFill>
              <w14:schemeClr w14:val="tx1"/>
            </w14:solidFill>
          </w14:textFill>
        </w:rPr>
        <w:t>18%</w:t>
      </w:r>
      <w:r>
        <w:rPr>
          <w:rFonts w:hint="default" w:ascii="Times New Roman" w:hAnsi="Times New Roman" w:eastAsia="仿宋_GB2312" w:cs="Times New Roman"/>
          <w:color w:val="000000" w:themeColor="text1"/>
          <w:sz w:val="32"/>
          <w:szCs w:val="32"/>
          <w:shd w:val="clear" w:color="auto" w:fill="FFFFFF"/>
          <w:lang w:val="en-US" w:eastAsia="zh-CN" w:bidi="ar-SA"/>
          <w14:textFill>
            <w14:solidFill>
              <w14:schemeClr w14:val="tx1"/>
            </w14:solidFill>
          </w14:textFill>
        </w:rPr>
        <w:t>，</w:t>
      </w:r>
      <w:r>
        <w:rPr>
          <w:rFonts w:hint="default" w:ascii="Times New Roman" w:hAnsi="Times New Roman" w:eastAsia="仿宋_GB2312" w:cs="Times New Roman"/>
          <w:color w:val="000000" w:themeColor="text1"/>
          <w:sz w:val="32"/>
          <w:szCs w:val="32"/>
          <w:shd w:val="clear" w:color="auto" w:fill="FFFFFF"/>
          <w:lang w:bidi="ar-SA"/>
          <w14:textFill>
            <w14:solidFill>
              <w14:schemeClr w14:val="tx1"/>
            </w14:solidFill>
          </w14:textFill>
        </w:rPr>
        <w:t>及时生动展现我区教育系统新动态。</w:t>
      </w:r>
    </w:p>
    <w:p>
      <w:pPr>
        <w:pStyle w:val="5"/>
        <w:keepNext w:val="0"/>
        <w:keepLines w:val="0"/>
        <w:pageBreakBefore w:val="0"/>
        <w:widowControl/>
        <w:shd w:val="clear" w:color="auto" w:fill="FFFFFF"/>
        <w:kinsoku/>
        <w:overflowPunct/>
        <w:topLinePunct w:val="0"/>
        <w:autoSpaceDE/>
        <w:autoSpaceDN/>
        <w:bidi w:val="0"/>
        <w:adjustRightInd/>
        <w:snapToGrid/>
        <w:spacing w:beforeAutospacing="0" w:afterAutospacing="0" w:line="240" w:lineRule="auto"/>
        <w:ind w:firstLine="480" w:firstLineChars="200"/>
        <w:jc w:val="both"/>
        <w:textAlignment w:val="auto"/>
        <w:rPr>
          <w:rFonts w:hint="default" w:ascii="Times New Roman" w:hAnsi="Times New Roman" w:eastAsia="仿宋_GB2312" w:cs="Times New Roman"/>
          <w:color w:val="000000" w:themeColor="text1"/>
          <w:sz w:val="32"/>
          <w:szCs w:val="32"/>
          <w:shd w:val="clear" w:color="auto" w:fill="FFFFFF"/>
          <w:lang w:bidi="ar-SA"/>
          <w14:textFill>
            <w14:solidFill>
              <w14:schemeClr w14:val="tx1"/>
            </w14:solidFill>
          </w14:textFill>
        </w:rPr>
      </w:pPr>
      <w:r>
        <w:rPr>
          <w:rFonts w:hint="eastAsia"/>
          <w:lang w:val="en-US" w:eastAsia="zh-CN"/>
        </w:rPr>
        <w:t xml:space="preserve">   </w:t>
      </w:r>
      <w:r>
        <w:drawing>
          <wp:inline distT="0" distB="0" distL="114300" distR="114300">
            <wp:extent cx="4826000" cy="2743200"/>
            <wp:effectExtent l="4445" t="4445" r="8255" b="14605"/>
            <wp:docPr id="7"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bookmarkStart w:id="0" w:name="_GoBack"/>
      <w:bookmarkEnd w:id="0"/>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color w:val="000000" w:themeColor="text1"/>
          <w:sz w:val="32"/>
          <w:szCs w:val="32"/>
          <w:shd w:val="clear" w:color="auto" w:fill="FFFFFF"/>
          <w:lang w:val="en-US" w:eastAsia="zh-CN" w:bidi="ar-SA"/>
          <w14:textFill>
            <w14:solidFill>
              <w14:schemeClr w14:val="tx1"/>
            </w14:solidFill>
          </w14:textFill>
        </w:rPr>
      </w:pPr>
      <w:r>
        <w:rPr>
          <w:rFonts w:hint="default" w:ascii="Times New Roman" w:hAnsi="Times New Roman" w:eastAsia="楷体" w:cs="Times New Roman"/>
          <w:i w:val="0"/>
          <w:iCs w:val="0"/>
          <w:caps w:val="0"/>
          <w:color w:val="000000" w:themeColor="text1"/>
          <w:spacing w:val="0"/>
          <w:sz w:val="32"/>
          <w:szCs w:val="32"/>
          <w:shd w:val="clear" w:fill="FFFFFF"/>
          <w:lang w:val="en-US" w:eastAsia="zh-CN"/>
          <w14:textFill>
            <w14:solidFill>
              <w14:schemeClr w14:val="tx1"/>
            </w14:solidFill>
          </w14:textFill>
        </w:rPr>
        <w:t>（五）监督保障情况。</w:t>
      </w:r>
      <w:r>
        <w:rPr>
          <w:rFonts w:hint="default" w:ascii="Times New Roman" w:hAnsi="Times New Roman" w:eastAsia="仿宋_GB2312" w:cs="Times New Roman"/>
          <w:color w:val="000000" w:themeColor="text1"/>
          <w:sz w:val="32"/>
          <w:szCs w:val="32"/>
          <w:shd w:val="clear" w:color="auto" w:fill="FFFFFF"/>
          <w:lang w:val="en-US" w:eastAsia="zh-CN" w:bidi="ar-SA"/>
          <w14:textFill>
            <w14:solidFill>
              <w14:schemeClr w14:val="tx1"/>
            </w14:solidFill>
          </w14:textFill>
        </w:rPr>
        <w:t>实行内部监督和外部监督相结合的监督机制。内部监督由局办公室负责对行政过程中是否按照政务公开要求施政进行监督检查，发现问题及时纠正整改。外部监督通过举报投诉电话，收集群众反映的问题、提出的意见，进行妥善处理。</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宋体" w:cs="Times New Roman"/>
          <w:color w:val="auto"/>
          <w:sz w:val="19"/>
          <w:szCs w:val="19"/>
          <w:lang w:bidi="ar-SA"/>
        </w:rPr>
      </w:pPr>
      <w:r>
        <w:rPr>
          <w:rFonts w:hint="default" w:ascii="Times New Roman" w:hAnsi="Times New Roman" w:eastAsia="黑体" w:cs="Times New Roman"/>
          <w:color w:val="auto"/>
          <w:sz w:val="32"/>
          <w:szCs w:val="19"/>
          <w:shd w:val="clear" w:color="auto" w:fill="FFFFFF"/>
          <w:lang w:bidi="ar-SA"/>
        </w:rPr>
        <w:t>二、主动公开政府信息情况</w:t>
      </w:r>
    </w:p>
    <w:tbl>
      <w:tblPr>
        <w:tblStyle w:val="7"/>
        <w:tblW w:w="9740" w:type="dxa"/>
        <w:jc w:val="center"/>
        <w:tblLayout w:type="autofit"/>
        <w:tblCellMar>
          <w:top w:w="0" w:type="dxa"/>
          <w:left w:w="0" w:type="dxa"/>
          <w:bottom w:w="0" w:type="dxa"/>
          <w:right w:w="0" w:type="dxa"/>
        </w:tblCellMar>
      </w:tblPr>
      <w:tblGrid>
        <w:gridCol w:w="2435"/>
        <w:gridCol w:w="2435"/>
        <w:gridCol w:w="2435"/>
        <w:gridCol w:w="2435"/>
      </w:tblGrid>
      <w:tr>
        <w:tblPrEx>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auto"/>
                <w:sz w:val="24"/>
                <w:lang w:bidi="ar-SA"/>
              </w:rPr>
            </w:pPr>
            <w:r>
              <w:rPr>
                <w:rFonts w:hint="default" w:ascii="Times New Roman" w:hAnsi="Times New Roman" w:eastAsia="宋体" w:cs="Times New Roman"/>
                <w:color w:val="auto"/>
                <w:kern w:val="0"/>
                <w:sz w:val="24"/>
                <w:szCs w:val="20"/>
                <w:lang w:bidi="ar-SA"/>
              </w:rPr>
              <w:t>第二十条第（一）项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auto"/>
                <w:sz w:val="24"/>
                <w:lang w:bidi="ar-SA"/>
              </w:rPr>
            </w:pPr>
            <w:r>
              <w:rPr>
                <w:rFonts w:hint="default" w:ascii="Times New Roman" w:hAnsi="Times New Roman" w:eastAsia="宋体" w:cs="Times New Roman"/>
                <w:color w:val="auto"/>
                <w:kern w:val="0"/>
                <w:sz w:val="24"/>
                <w:szCs w:val="20"/>
                <w:lang w:bidi="ar-SA"/>
              </w:rPr>
              <w:t>信息内容</w:t>
            </w:r>
          </w:p>
        </w:tc>
        <w:tc>
          <w:tcPr>
            <w:tcW w:w="2435" w:type="dxa"/>
            <w:tcBorders>
              <w:top w:val="single" w:color="auto" w:sz="8" w:space="0"/>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auto"/>
                <w:sz w:val="24"/>
                <w:lang w:bidi="ar-SA"/>
              </w:rPr>
            </w:pPr>
            <w:r>
              <w:rPr>
                <w:rFonts w:hint="default" w:ascii="Times New Roman" w:hAnsi="Times New Roman" w:eastAsia="宋体" w:cs="Times New Roman"/>
                <w:color w:val="auto"/>
                <w:kern w:val="0"/>
                <w:sz w:val="24"/>
                <w:szCs w:val="20"/>
                <w:lang w:bidi="ar-SA"/>
              </w:rPr>
              <w:t>本年制发件数</w:t>
            </w:r>
          </w:p>
        </w:tc>
        <w:tc>
          <w:tcPr>
            <w:tcW w:w="2435" w:type="dxa"/>
            <w:tcBorders>
              <w:top w:val="single" w:color="auto" w:sz="8" w:space="0"/>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auto"/>
                <w:sz w:val="24"/>
                <w:lang w:bidi="ar-SA"/>
              </w:rPr>
            </w:pPr>
            <w:r>
              <w:rPr>
                <w:rFonts w:hint="default" w:ascii="Times New Roman" w:hAnsi="Times New Roman" w:eastAsia="宋体" w:cs="Times New Roman"/>
                <w:color w:val="auto"/>
                <w:kern w:val="0"/>
                <w:sz w:val="24"/>
                <w:szCs w:val="20"/>
                <w:lang w:bidi="ar-SA"/>
              </w:rPr>
              <w:t>本年废止件数</w:t>
            </w:r>
          </w:p>
        </w:tc>
        <w:tc>
          <w:tcPr>
            <w:tcW w:w="2435" w:type="dxa"/>
            <w:tcBorders>
              <w:top w:val="single" w:color="auto" w:sz="8" w:space="0"/>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auto"/>
                <w:sz w:val="24"/>
                <w:lang w:bidi="ar-SA"/>
              </w:rPr>
            </w:pPr>
            <w:r>
              <w:rPr>
                <w:rFonts w:hint="default" w:ascii="Times New Roman" w:hAnsi="Times New Roman" w:eastAsia="宋体" w:cs="Times New Roman"/>
                <w:color w:val="auto"/>
                <w:kern w:val="0"/>
                <w:sz w:val="24"/>
                <w:szCs w:val="20"/>
                <w:lang w:bidi="ar-SA"/>
              </w:rPr>
              <w:t>现行有效件数</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auto"/>
                <w:sz w:val="24"/>
                <w:lang w:bidi="ar-SA"/>
              </w:rPr>
            </w:pPr>
            <w:r>
              <w:rPr>
                <w:rFonts w:hint="default" w:ascii="Times New Roman" w:hAnsi="Times New Roman" w:eastAsia="宋体" w:cs="Times New Roman"/>
                <w:color w:val="auto"/>
                <w:kern w:val="0"/>
                <w:sz w:val="24"/>
                <w:szCs w:val="20"/>
                <w:lang w:bidi="ar-SA"/>
              </w:rPr>
              <w:t>规章</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auto"/>
                <w:sz w:val="24"/>
                <w:lang w:val="en-US" w:eastAsia="zh-CN" w:bidi="ar-SA"/>
              </w:rPr>
            </w:pPr>
            <w:r>
              <w:rPr>
                <w:rFonts w:hint="default" w:ascii="Times New Roman" w:hAnsi="Times New Roman" w:cs="Times New Roman"/>
                <w:color w:val="auto"/>
                <w:sz w:val="24"/>
                <w:lang w:val="en-US" w:eastAsia="zh-CN" w:bidi="ar-SA"/>
              </w:rPr>
              <w:t>0</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auto"/>
                <w:sz w:val="24"/>
                <w:lang w:val="en-US" w:eastAsia="zh-CN" w:bidi="ar-SA"/>
              </w:rPr>
            </w:pPr>
            <w:r>
              <w:rPr>
                <w:rFonts w:hint="default" w:ascii="Times New Roman" w:hAnsi="Times New Roman" w:cs="Times New Roman"/>
                <w:color w:val="auto"/>
                <w:sz w:val="24"/>
                <w:lang w:val="en-US" w:eastAsia="zh-CN" w:bidi="ar-SA"/>
              </w:rPr>
              <w:t>0</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auto"/>
                <w:sz w:val="24"/>
                <w:lang w:val="en-US" w:eastAsia="zh-CN" w:bidi="ar-SA"/>
              </w:rPr>
            </w:pPr>
            <w:r>
              <w:rPr>
                <w:rFonts w:hint="default" w:ascii="Times New Roman" w:hAnsi="Times New Roman" w:cs="Times New Roman"/>
                <w:color w:val="auto"/>
                <w:sz w:val="24"/>
                <w:lang w:val="en-US" w:eastAsia="zh-CN" w:bidi="ar-SA"/>
              </w:rPr>
              <w:t>0</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auto"/>
                <w:sz w:val="24"/>
                <w:lang w:bidi="ar-SA"/>
              </w:rPr>
            </w:pPr>
            <w:r>
              <w:rPr>
                <w:rFonts w:hint="default" w:ascii="Times New Roman" w:hAnsi="Times New Roman" w:eastAsia="宋体" w:cs="Times New Roman"/>
                <w:color w:val="auto"/>
                <w:kern w:val="0"/>
                <w:sz w:val="24"/>
                <w:szCs w:val="20"/>
                <w:lang w:bidi="ar-SA"/>
              </w:rPr>
              <w:t>行政规范性文件</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auto"/>
                <w:sz w:val="24"/>
                <w:lang w:val="en-US" w:eastAsia="zh-CN" w:bidi="ar-SA"/>
              </w:rPr>
            </w:pPr>
            <w:r>
              <w:rPr>
                <w:rFonts w:hint="default" w:ascii="Times New Roman" w:hAnsi="Times New Roman" w:cs="Times New Roman"/>
                <w:color w:val="auto"/>
                <w:sz w:val="24"/>
                <w:lang w:val="en-US" w:eastAsia="zh-CN" w:bidi="ar-SA"/>
              </w:rPr>
              <w:t>1</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auto"/>
                <w:sz w:val="24"/>
                <w:lang w:val="en-US" w:eastAsia="zh-CN" w:bidi="ar-SA"/>
              </w:rPr>
            </w:pPr>
            <w:r>
              <w:rPr>
                <w:rFonts w:hint="default" w:ascii="Times New Roman" w:hAnsi="Times New Roman" w:cs="Times New Roman"/>
                <w:color w:val="auto"/>
                <w:sz w:val="24"/>
                <w:lang w:val="en-US" w:eastAsia="zh-CN" w:bidi="ar-SA"/>
              </w:rPr>
              <w:t>3</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auto"/>
                <w:sz w:val="24"/>
                <w:lang w:val="en-US" w:eastAsia="zh-CN" w:bidi="ar-SA"/>
              </w:rPr>
            </w:pPr>
            <w:r>
              <w:rPr>
                <w:rFonts w:hint="default" w:ascii="Times New Roman" w:hAnsi="Times New Roman" w:cs="Times New Roman"/>
                <w:color w:val="auto"/>
                <w:sz w:val="24"/>
                <w:lang w:val="en-US" w:eastAsia="zh-CN" w:bidi="ar-SA"/>
              </w:rPr>
              <w:t>2</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auto"/>
                <w:sz w:val="24"/>
                <w:lang w:bidi="ar-SA"/>
              </w:rPr>
            </w:pPr>
            <w:r>
              <w:rPr>
                <w:rFonts w:hint="default" w:ascii="Times New Roman" w:hAnsi="Times New Roman" w:eastAsia="宋体" w:cs="Times New Roman"/>
                <w:color w:val="auto"/>
                <w:kern w:val="0"/>
                <w:sz w:val="24"/>
                <w:szCs w:val="20"/>
                <w:lang w:bidi="ar-SA"/>
              </w:rPr>
              <w:t>第二十条第（五）项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auto"/>
                <w:sz w:val="24"/>
                <w:lang w:bidi="ar-SA"/>
              </w:rPr>
            </w:pPr>
            <w:r>
              <w:rPr>
                <w:rFonts w:hint="default" w:ascii="Times New Roman" w:hAnsi="Times New Roman" w:eastAsia="宋体" w:cs="Times New Roman"/>
                <w:color w:val="auto"/>
                <w:kern w:val="0"/>
                <w:sz w:val="24"/>
                <w:szCs w:val="20"/>
                <w:lang w:bidi="ar-SA"/>
              </w:rPr>
              <w:t>信息内容</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auto"/>
                <w:sz w:val="24"/>
                <w:lang w:bidi="ar-SA"/>
              </w:rPr>
            </w:pPr>
            <w:r>
              <w:rPr>
                <w:rFonts w:hint="default" w:ascii="Times New Roman" w:hAnsi="Times New Roman" w:eastAsia="宋体" w:cs="Times New Roman"/>
                <w:color w:val="auto"/>
                <w:kern w:val="0"/>
                <w:sz w:val="24"/>
                <w:szCs w:val="20"/>
                <w:lang w:bidi="ar-SA"/>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auto"/>
                <w:sz w:val="24"/>
                <w:lang w:bidi="ar-SA"/>
              </w:rPr>
            </w:pPr>
            <w:r>
              <w:rPr>
                <w:rFonts w:hint="default" w:ascii="Times New Roman" w:hAnsi="Times New Roman" w:eastAsia="宋体" w:cs="Times New Roman"/>
                <w:color w:val="auto"/>
                <w:kern w:val="0"/>
                <w:sz w:val="24"/>
                <w:szCs w:val="20"/>
                <w:lang w:bidi="ar-SA"/>
              </w:rPr>
              <w:t>行政许可</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auto"/>
                <w:sz w:val="24"/>
                <w:lang w:val="en-US" w:eastAsia="zh-CN" w:bidi="ar-SA"/>
              </w:rPr>
            </w:pPr>
            <w:r>
              <w:rPr>
                <w:rFonts w:hint="default" w:ascii="Times New Roman" w:hAnsi="Times New Roman" w:cs="Times New Roman"/>
                <w:color w:val="auto"/>
                <w:sz w:val="24"/>
                <w:lang w:val="en-US" w:eastAsia="zh-CN" w:bidi="ar-SA"/>
              </w:rPr>
              <w:t>144</w:t>
            </w:r>
            <w:r>
              <w:rPr>
                <w:rFonts w:hint="eastAsia" w:ascii="Times New Roman" w:hAnsi="Times New Roman" w:cs="Times New Roman"/>
                <w:color w:val="auto"/>
                <w:sz w:val="24"/>
                <w:lang w:val="en-US" w:eastAsia="zh-CN" w:bidi="ar-SA"/>
              </w:rPr>
              <w:t>8</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auto"/>
                <w:sz w:val="24"/>
                <w:lang w:bidi="ar-SA"/>
              </w:rPr>
            </w:pPr>
            <w:r>
              <w:rPr>
                <w:rFonts w:hint="default" w:ascii="Times New Roman" w:hAnsi="Times New Roman" w:eastAsia="宋体" w:cs="Times New Roman"/>
                <w:color w:val="auto"/>
                <w:kern w:val="0"/>
                <w:sz w:val="24"/>
                <w:szCs w:val="20"/>
                <w:lang w:bidi="ar-SA"/>
              </w:rPr>
              <w:t>第二十条第（六）项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auto"/>
                <w:sz w:val="24"/>
                <w:lang w:bidi="ar-SA"/>
              </w:rPr>
            </w:pPr>
            <w:r>
              <w:rPr>
                <w:rFonts w:hint="default" w:ascii="Times New Roman" w:hAnsi="Times New Roman" w:eastAsia="宋体" w:cs="Times New Roman"/>
                <w:color w:val="auto"/>
                <w:kern w:val="0"/>
                <w:sz w:val="24"/>
                <w:szCs w:val="20"/>
                <w:lang w:bidi="ar-SA"/>
              </w:rPr>
              <w:t>信息内容</w:t>
            </w:r>
          </w:p>
        </w:tc>
        <w:tc>
          <w:tcPr>
            <w:tcW w:w="7305" w:type="dxa"/>
            <w:gridSpan w:val="3"/>
            <w:tcBorders>
              <w:top w:val="single" w:color="auto" w:sz="8" w:space="0"/>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auto"/>
                <w:sz w:val="24"/>
                <w:lang w:bidi="ar-SA"/>
              </w:rPr>
            </w:pPr>
            <w:r>
              <w:rPr>
                <w:rFonts w:hint="default" w:ascii="Times New Roman" w:hAnsi="Times New Roman" w:eastAsia="宋体" w:cs="Times New Roman"/>
                <w:color w:val="auto"/>
                <w:kern w:val="0"/>
                <w:sz w:val="24"/>
                <w:szCs w:val="20"/>
                <w:lang w:bidi="ar-SA"/>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auto"/>
                <w:sz w:val="24"/>
                <w:lang w:bidi="ar-SA"/>
              </w:rPr>
            </w:pPr>
            <w:r>
              <w:rPr>
                <w:rFonts w:hint="default" w:ascii="Times New Roman" w:hAnsi="Times New Roman" w:eastAsia="宋体" w:cs="Times New Roman"/>
                <w:color w:val="auto"/>
                <w:kern w:val="0"/>
                <w:sz w:val="24"/>
                <w:szCs w:val="20"/>
                <w:lang w:bidi="ar-SA"/>
              </w:rPr>
              <w:t>行政处罚</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auto"/>
                <w:sz w:val="24"/>
                <w:lang w:val="en-US" w:eastAsia="zh-CN" w:bidi="ar-SA"/>
              </w:rPr>
            </w:pPr>
            <w:r>
              <w:rPr>
                <w:rFonts w:hint="default" w:ascii="Times New Roman" w:hAnsi="Times New Roman" w:cs="Times New Roman"/>
                <w:color w:val="auto"/>
                <w:sz w:val="24"/>
                <w:lang w:val="en-US" w:eastAsia="zh-CN" w:bidi="ar-SA"/>
              </w:rPr>
              <w:t>2</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auto"/>
                <w:sz w:val="24"/>
                <w:lang w:bidi="ar-SA"/>
              </w:rPr>
            </w:pPr>
            <w:r>
              <w:rPr>
                <w:rFonts w:hint="default" w:ascii="Times New Roman" w:hAnsi="Times New Roman" w:eastAsia="宋体" w:cs="Times New Roman"/>
                <w:color w:val="auto"/>
                <w:kern w:val="0"/>
                <w:sz w:val="24"/>
                <w:szCs w:val="20"/>
                <w:lang w:bidi="ar-SA"/>
              </w:rPr>
              <w:t>行政强制</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auto"/>
                <w:sz w:val="24"/>
                <w:lang w:val="en-US" w:eastAsia="zh-CN" w:bidi="ar-SA"/>
              </w:rPr>
            </w:pPr>
            <w:r>
              <w:rPr>
                <w:rFonts w:hint="default" w:ascii="Times New Roman" w:hAnsi="Times New Roman" w:cs="Times New Roman"/>
                <w:color w:val="auto"/>
                <w:sz w:val="24"/>
                <w:lang w:val="en-US" w:eastAsia="zh-CN" w:bidi="ar-SA"/>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auto"/>
                <w:sz w:val="24"/>
                <w:lang w:bidi="ar-SA"/>
              </w:rPr>
            </w:pPr>
            <w:r>
              <w:rPr>
                <w:rFonts w:hint="default" w:ascii="Times New Roman" w:hAnsi="Times New Roman" w:eastAsia="宋体" w:cs="Times New Roman"/>
                <w:color w:val="auto"/>
                <w:kern w:val="0"/>
                <w:sz w:val="24"/>
                <w:szCs w:val="20"/>
                <w:lang w:bidi="ar-SA"/>
              </w:rPr>
              <w:t>第二十条第（八）项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auto"/>
                <w:sz w:val="24"/>
                <w:lang w:bidi="ar-SA"/>
              </w:rPr>
            </w:pPr>
            <w:r>
              <w:rPr>
                <w:rFonts w:hint="default" w:ascii="Times New Roman" w:hAnsi="Times New Roman" w:eastAsia="宋体" w:cs="Times New Roman"/>
                <w:color w:val="auto"/>
                <w:kern w:val="0"/>
                <w:sz w:val="24"/>
                <w:szCs w:val="20"/>
                <w:lang w:bidi="ar-SA"/>
              </w:rPr>
              <w:t>信息内容</w:t>
            </w:r>
          </w:p>
        </w:tc>
        <w:tc>
          <w:tcPr>
            <w:tcW w:w="7305" w:type="dxa"/>
            <w:gridSpan w:val="3"/>
            <w:tcBorders>
              <w:top w:val="nil"/>
              <w:left w:val="nil"/>
              <w:bottom w:val="single" w:color="auto" w:sz="8" w:space="0"/>
              <w:right w:val="single" w:color="000000"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auto"/>
                <w:sz w:val="24"/>
                <w:lang w:bidi="ar-SA"/>
              </w:rPr>
            </w:pPr>
            <w:r>
              <w:rPr>
                <w:rFonts w:hint="default" w:ascii="Times New Roman" w:hAnsi="Times New Roman" w:eastAsia="宋体" w:cs="Times New Roman"/>
                <w:color w:val="auto"/>
                <w:kern w:val="0"/>
                <w:sz w:val="24"/>
                <w:szCs w:val="20"/>
                <w:lang w:bidi="ar-SA"/>
              </w:rPr>
              <w:t>本年收费金额（单位：万元）</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auto"/>
                <w:sz w:val="24"/>
                <w:lang w:bidi="ar-SA"/>
              </w:rPr>
            </w:pPr>
            <w:r>
              <w:rPr>
                <w:rFonts w:hint="default" w:ascii="Times New Roman" w:hAnsi="Times New Roman" w:eastAsia="宋体" w:cs="Times New Roman"/>
                <w:color w:val="auto"/>
                <w:kern w:val="0"/>
                <w:sz w:val="24"/>
                <w:szCs w:val="20"/>
                <w:lang w:bidi="ar-SA"/>
              </w:rPr>
              <w:t>行政事业性收费</w:t>
            </w:r>
          </w:p>
        </w:tc>
        <w:tc>
          <w:tcPr>
            <w:tcW w:w="7305" w:type="dxa"/>
            <w:gridSpan w:val="3"/>
            <w:tcBorders>
              <w:top w:val="nil"/>
              <w:left w:val="nil"/>
              <w:bottom w:val="single" w:color="auto" w:sz="8" w:space="0"/>
              <w:right w:val="single" w:color="000000"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auto"/>
                <w:sz w:val="24"/>
                <w:szCs w:val="24"/>
                <w:lang w:val="en-US" w:eastAsia="zh-CN" w:bidi="ar-SA"/>
              </w:rPr>
            </w:pPr>
            <w:r>
              <w:rPr>
                <w:rFonts w:hint="default" w:ascii="Times New Roman" w:hAnsi="Times New Roman" w:cs="Times New Roman"/>
                <w:color w:val="auto"/>
                <w:sz w:val="24"/>
                <w:szCs w:val="24"/>
                <w:lang w:val="en-US" w:eastAsia="zh-CN" w:bidi="ar-SA"/>
              </w:rPr>
              <w:t>3132.18</w:t>
            </w:r>
          </w:p>
        </w:tc>
      </w:tr>
    </w:tbl>
    <w:p>
      <w:pPr>
        <w:pStyle w:val="5"/>
        <w:widowControl/>
        <w:shd w:val="clear" w:color="auto" w:fill="FFFFFF"/>
        <w:spacing w:beforeAutospacing="0" w:afterAutospacing="0"/>
        <w:ind w:firstLine="640" w:firstLineChars="200"/>
        <w:jc w:val="both"/>
        <w:rPr>
          <w:rFonts w:hint="default" w:ascii="Times New Roman" w:hAnsi="Times New Roman" w:eastAsia="宋体" w:cs="Times New Roman"/>
          <w:color w:val="auto"/>
          <w:sz w:val="19"/>
          <w:szCs w:val="19"/>
          <w:lang w:bidi="ar-SA"/>
        </w:rPr>
      </w:pPr>
      <w:r>
        <w:rPr>
          <w:rFonts w:hint="default" w:ascii="Times New Roman" w:hAnsi="Times New Roman" w:eastAsia="黑体" w:cs="Times New Roman"/>
          <w:color w:val="auto"/>
          <w:sz w:val="32"/>
          <w:szCs w:val="19"/>
          <w:shd w:val="clear" w:color="auto" w:fill="FFFFFF"/>
          <w:lang w:bidi="ar-SA"/>
        </w:rPr>
        <w:t>三、收到和处理政府信息公开申请情况</w:t>
      </w:r>
    </w:p>
    <w:tbl>
      <w:tblPr>
        <w:tblStyle w:val="7"/>
        <w:tblW w:w="9748" w:type="dxa"/>
        <w:jc w:val="center"/>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autofit"/>
        <w:tblCellMar>
          <w:top w:w="0" w:type="dxa"/>
          <w:left w:w="0" w:type="dxa"/>
          <w:bottom w:w="0" w:type="dxa"/>
          <w:right w:w="0" w:type="dxa"/>
        </w:tblCellMar>
      </w:tblPr>
      <w:tblGrid>
        <w:gridCol w:w="751"/>
        <w:gridCol w:w="954"/>
        <w:gridCol w:w="3261"/>
        <w:gridCol w:w="683"/>
        <w:gridCol w:w="683"/>
        <w:gridCol w:w="683"/>
        <w:gridCol w:w="683"/>
        <w:gridCol w:w="683"/>
        <w:gridCol w:w="683"/>
        <w:gridCol w:w="684"/>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4966" w:type="dxa"/>
            <w:gridSpan w:val="3"/>
            <w:vMerge w:val="restart"/>
            <w:tcBorders>
              <w:top w:val="single" w:color="auto" w:sz="8" w:space="0"/>
              <w:left w:val="single" w:color="auto" w:sz="8" w:space="0"/>
              <w:bottom w:val="outset" w:color="auto" w:sz="8" w:space="0"/>
              <w:right w:val="single" w:color="auto" w:sz="8" w:space="0"/>
            </w:tcBorders>
            <w:noWrap w:val="0"/>
            <w:tcMar>
              <w:left w:w="108" w:type="dxa"/>
              <w:right w:w="108" w:type="dxa"/>
            </w:tcMar>
            <w:vAlign w:val="center"/>
          </w:tcPr>
          <w:p>
            <w:pPr>
              <w:widowControl/>
              <w:spacing w:line="440" w:lineRule="exact"/>
              <w:jc w:val="left"/>
              <w:rPr>
                <w:rFonts w:hint="default" w:ascii="Times New Roman" w:hAnsi="Times New Roman" w:eastAsia="宋体" w:cs="Times New Roman"/>
                <w:color w:val="auto"/>
                <w:sz w:val="28"/>
                <w:lang w:bidi="ar-SA"/>
              </w:rPr>
            </w:pPr>
            <w:r>
              <w:rPr>
                <w:rFonts w:hint="default" w:ascii="Times New Roman" w:hAnsi="Times New Roman" w:eastAsia="宋体" w:cs="Times New Roman"/>
                <w:color w:val="auto"/>
                <w:kern w:val="0"/>
                <w:sz w:val="28"/>
                <w:szCs w:val="20"/>
                <w:lang w:bidi="ar-SA"/>
              </w:rPr>
              <w:t>（本列数据的勾稽关系为：第一项加第二项之和，等于第三项加第四项之和）</w:t>
            </w:r>
          </w:p>
        </w:tc>
        <w:tc>
          <w:tcPr>
            <w:tcW w:w="4782" w:type="dxa"/>
            <w:gridSpan w:val="7"/>
            <w:tcBorders>
              <w:top w:val="single" w:color="auto" w:sz="8" w:space="0"/>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auto"/>
                <w:sz w:val="28"/>
                <w:lang w:bidi="ar-SA"/>
              </w:rPr>
            </w:pPr>
            <w:r>
              <w:rPr>
                <w:rFonts w:hint="default" w:ascii="Times New Roman" w:hAnsi="Times New Roman" w:eastAsia="宋体" w:cs="Times New Roman"/>
                <w:color w:val="auto"/>
                <w:kern w:val="0"/>
                <w:sz w:val="28"/>
                <w:szCs w:val="20"/>
                <w:lang w:bidi="ar-SA"/>
              </w:rPr>
              <w:t>申请人情况</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4966" w:type="dxa"/>
            <w:gridSpan w:val="3"/>
            <w:vMerge w:val="continue"/>
            <w:tcBorders>
              <w:top w:val="single" w:color="auto" w:sz="8" w:space="0"/>
              <w:left w:val="single" w:color="auto" w:sz="8" w:space="0"/>
              <w:bottom w:val="outset" w:color="auto" w:sz="8" w:space="0"/>
              <w:right w:val="single" w:color="auto" w:sz="4" w:space="0"/>
            </w:tcBorders>
            <w:noWrap w:val="0"/>
            <w:tcMar>
              <w:left w:w="108" w:type="dxa"/>
              <w:right w:w="108" w:type="dxa"/>
            </w:tcMar>
            <w:vAlign w:val="center"/>
          </w:tcPr>
          <w:p>
            <w:pPr>
              <w:rPr>
                <w:color w:val="auto"/>
              </w:rPr>
            </w:pPr>
          </w:p>
        </w:tc>
        <w:tc>
          <w:tcPr>
            <w:tcW w:w="683" w:type="dxa"/>
            <w:vMerge w:val="restart"/>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auto"/>
                <w:sz w:val="28"/>
                <w:lang w:bidi="ar-SA"/>
              </w:rPr>
            </w:pPr>
            <w:r>
              <w:rPr>
                <w:rFonts w:hint="default" w:ascii="Times New Roman" w:hAnsi="Times New Roman" w:eastAsia="宋体" w:cs="Times New Roman"/>
                <w:color w:val="auto"/>
                <w:kern w:val="0"/>
                <w:sz w:val="28"/>
                <w:szCs w:val="20"/>
                <w:lang w:bidi="ar-SA"/>
              </w:rPr>
              <w:t>自然人</w:t>
            </w:r>
          </w:p>
        </w:tc>
        <w:tc>
          <w:tcPr>
            <w:tcW w:w="3415" w:type="dxa"/>
            <w:gridSpan w:val="5"/>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auto"/>
                <w:sz w:val="28"/>
                <w:lang w:bidi="ar-SA"/>
              </w:rPr>
            </w:pPr>
            <w:r>
              <w:rPr>
                <w:rFonts w:hint="default" w:ascii="Times New Roman" w:hAnsi="Times New Roman" w:eastAsia="宋体" w:cs="Times New Roman"/>
                <w:color w:val="auto"/>
                <w:kern w:val="0"/>
                <w:sz w:val="28"/>
                <w:szCs w:val="20"/>
                <w:lang w:bidi="ar-SA"/>
              </w:rPr>
              <w:t>法人或其他组织</w:t>
            </w:r>
          </w:p>
        </w:tc>
        <w:tc>
          <w:tcPr>
            <w:tcW w:w="684" w:type="dxa"/>
            <w:vMerge w:val="restart"/>
            <w:tcBorders>
              <w:top w:val="single" w:color="auto" w:sz="8" w:space="0"/>
              <w:left w:val="single" w:color="auto" w:sz="4" w:space="0"/>
              <w:bottom w:val="outset"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auto"/>
                <w:sz w:val="28"/>
                <w:lang w:bidi="ar-SA"/>
              </w:rPr>
            </w:pPr>
            <w:r>
              <w:rPr>
                <w:rFonts w:hint="default" w:ascii="Times New Roman" w:hAnsi="Times New Roman" w:eastAsia="宋体" w:cs="Times New Roman"/>
                <w:color w:val="auto"/>
                <w:kern w:val="0"/>
                <w:sz w:val="28"/>
                <w:szCs w:val="20"/>
                <w:lang w:bidi="ar-SA"/>
              </w:rPr>
              <w:t>总计</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4966" w:type="dxa"/>
            <w:gridSpan w:val="3"/>
            <w:vMerge w:val="continue"/>
            <w:tcBorders>
              <w:top w:val="single" w:color="auto" w:sz="8" w:space="0"/>
              <w:left w:val="single" w:color="auto" w:sz="8" w:space="0"/>
              <w:bottom w:val="outset" w:color="auto" w:sz="8" w:space="0"/>
              <w:right w:val="single" w:color="auto" w:sz="4" w:space="0"/>
            </w:tcBorders>
            <w:noWrap w:val="0"/>
            <w:tcMar>
              <w:left w:w="108" w:type="dxa"/>
              <w:right w:w="108" w:type="dxa"/>
            </w:tcMar>
            <w:vAlign w:val="center"/>
          </w:tcPr>
          <w:p>
            <w:pPr>
              <w:rPr>
                <w:color w:val="auto"/>
              </w:rPr>
            </w:pPr>
          </w:p>
        </w:tc>
        <w:tc>
          <w:tcPr>
            <w:tcW w:w="683" w:type="dxa"/>
            <w:vMerge w:val="continue"/>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rPr>
                <w:color w:val="auto"/>
              </w:rPr>
            </w:pP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auto"/>
                <w:sz w:val="28"/>
                <w:lang w:bidi="ar-SA"/>
              </w:rPr>
            </w:pPr>
            <w:r>
              <w:rPr>
                <w:rFonts w:hint="default" w:ascii="Times New Roman" w:hAnsi="Times New Roman" w:eastAsia="宋体" w:cs="Times New Roman"/>
                <w:color w:val="auto"/>
                <w:kern w:val="0"/>
                <w:sz w:val="28"/>
                <w:szCs w:val="20"/>
                <w:lang w:bidi="ar-SA"/>
              </w:rPr>
              <w:t>商业</w:t>
            </w:r>
          </w:p>
          <w:p>
            <w:pPr>
              <w:widowControl/>
              <w:spacing w:line="440" w:lineRule="exact"/>
              <w:jc w:val="center"/>
              <w:rPr>
                <w:rFonts w:hint="default" w:ascii="Times New Roman" w:hAnsi="Times New Roman" w:eastAsia="宋体" w:cs="Times New Roman"/>
                <w:color w:val="auto"/>
                <w:sz w:val="28"/>
                <w:lang w:bidi="ar-SA"/>
              </w:rPr>
            </w:pPr>
            <w:r>
              <w:rPr>
                <w:rFonts w:hint="default" w:ascii="Times New Roman" w:hAnsi="Times New Roman" w:eastAsia="宋体" w:cs="Times New Roman"/>
                <w:color w:val="auto"/>
                <w:kern w:val="0"/>
                <w:sz w:val="28"/>
                <w:szCs w:val="20"/>
                <w:lang w:bidi="ar-SA"/>
              </w:rPr>
              <w:t>企业</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auto"/>
                <w:sz w:val="28"/>
                <w:lang w:bidi="ar-SA"/>
              </w:rPr>
            </w:pPr>
            <w:r>
              <w:rPr>
                <w:rFonts w:hint="default" w:ascii="Times New Roman" w:hAnsi="Times New Roman" w:eastAsia="宋体" w:cs="Times New Roman"/>
                <w:color w:val="auto"/>
                <w:kern w:val="0"/>
                <w:sz w:val="28"/>
                <w:szCs w:val="20"/>
                <w:lang w:bidi="ar-SA"/>
              </w:rPr>
              <w:t>科研</w:t>
            </w:r>
          </w:p>
          <w:p>
            <w:pPr>
              <w:widowControl/>
              <w:spacing w:line="440" w:lineRule="exact"/>
              <w:jc w:val="center"/>
              <w:rPr>
                <w:rFonts w:hint="default" w:ascii="Times New Roman" w:hAnsi="Times New Roman" w:eastAsia="宋体" w:cs="Times New Roman"/>
                <w:color w:val="auto"/>
                <w:sz w:val="28"/>
                <w:lang w:bidi="ar-SA"/>
              </w:rPr>
            </w:pPr>
            <w:r>
              <w:rPr>
                <w:rFonts w:hint="default" w:ascii="Times New Roman" w:hAnsi="Times New Roman" w:eastAsia="宋体" w:cs="Times New Roman"/>
                <w:color w:val="auto"/>
                <w:kern w:val="0"/>
                <w:sz w:val="28"/>
                <w:szCs w:val="20"/>
                <w:lang w:bidi="ar-SA"/>
              </w:rPr>
              <w:t>机构</w:t>
            </w:r>
          </w:p>
        </w:tc>
        <w:tc>
          <w:tcPr>
            <w:tcW w:w="683" w:type="dxa"/>
            <w:tcBorders>
              <w:top w:val="single" w:color="auto" w:sz="8" w:space="0"/>
              <w:left w:val="single" w:color="auto" w:sz="4" w:space="0"/>
              <w:bottom w:val="single" w:color="auto" w:sz="4"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auto"/>
                <w:sz w:val="28"/>
                <w:lang w:bidi="ar-SA"/>
              </w:rPr>
            </w:pPr>
            <w:r>
              <w:rPr>
                <w:rFonts w:hint="default" w:ascii="Times New Roman" w:hAnsi="Times New Roman" w:eastAsia="宋体" w:cs="Times New Roman"/>
                <w:color w:val="auto"/>
                <w:kern w:val="0"/>
                <w:sz w:val="28"/>
                <w:szCs w:val="20"/>
                <w:lang w:bidi="ar-SA"/>
              </w:rPr>
              <w:t>社会公益组织</w:t>
            </w:r>
          </w:p>
        </w:tc>
        <w:tc>
          <w:tcPr>
            <w:tcW w:w="683" w:type="dxa"/>
            <w:tcBorders>
              <w:top w:val="single" w:color="auto" w:sz="8" w:space="0"/>
              <w:left w:val="nil"/>
              <w:bottom w:val="single" w:color="auto" w:sz="4"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auto"/>
                <w:sz w:val="28"/>
                <w:lang w:bidi="ar-SA"/>
              </w:rPr>
            </w:pPr>
            <w:r>
              <w:rPr>
                <w:rFonts w:hint="default" w:ascii="Times New Roman" w:hAnsi="Times New Roman" w:eastAsia="宋体" w:cs="Times New Roman"/>
                <w:color w:val="auto"/>
                <w:kern w:val="0"/>
                <w:sz w:val="28"/>
                <w:szCs w:val="20"/>
                <w:lang w:bidi="ar-SA"/>
              </w:rPr>
              <w:t>法律服务机构</w:t>
            </w:r>
          </w:p>
        </w:tc>
        <w:tc>
          <w:tcPr>
            <w:tcW w:w="683" w:type="dxa"/>
            <w:tcBorders>
              <w:top w:val="single" w:color="auto" w:sz="8" w:space="0"/>
              <w:left w:val="nil"/>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auto"/>
                <w:sz w:val="28"/>
                <w:lang w:bidi="ar-SA"/>
              </w:rPr>
            </w:pPr>
            <w:r>
              <w:rPr>
                <w:rFonts w:hint="default" w:ascii="Times New Roman" w:hAnsi="Times New Roman" w:eastAsia="宋体" w:cs="Times New Roman"/>
                <w:color w:val="auto"/>
                <w:kern w:val="0"/>
                <w:sz w:val="28"/>
                <w:szCs w:val="20"/>
                <w:lang w:bidi="ar-SA"/>
              </w:rPr>
              <w:t>其他</w:t>
            </w:r>
          </w:p>
        </w:tc>
        <w:tc>
          <w:tcPr>
            <w:tcW w:w="684" w:type="dxa"/>
            <w:vMerge w:val="continue"/>
            <w:tcBorders>
              <w:top w:val="single" w:color="auto" w:sz="8" w:space="0"/>
              <w:left w:val="single" w:color="auto" w:sz="4" w:space="0"/>
              <w:bottom w:val="outset" w:color="auto" w:sz="8" w:space="0"/>
              <w:right w:val="single" w:color="auto" w:sz="8" w:space="0"/>
            </w:tcBorders>
            <w:noWrap w:val="0"/>
            <w:tcMar>
              <w:left w:w="57" w:type="dxa"/>
              <w:right w:w="57" w:type="dxa"/>
            </w:tcMar>
            <w:vAlign w:val="center"/>
          </w:tcPr>
          <w:p>
            <w:pPr>
              <w:rPr>
                <w:color w:val="auto"/>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4966" w:type="dxa"/>
            <w:gridSpan w:val="3"/>
            <w:tcBorders>
              <w:top w:val="nil"/>
              <w:left w:val="single" w:color="auto" w:sz="8" w:space="0"/>
              <w:bottom w:val="single" w:color="auto" w:sz="8" w:space="0"/>
              <w:right w:val="single" w:color="auto" w:sz="8" w:space="0"/>
            </w:tcBorders>
            <w:noWrap w:val="0"/>
            <w:tcMar>
              <w:left w:w="57" w:type="dxa"/>
              <w:right w:w="57" w:type="dxa"/>
            </w:tcMar>
            <w:vAlign w:val="center"/>
          </w:tcPr>
          <w:p>
            <w:pPr>
              <w:widowControl/>
              <w:spacing w:line="440" w:lineRule="exact"/>
              <w:jc w:val="left"/>
              <w:rPr>
                <w:rFonts w:hint="default" w:ascii="Times New Roman" w:hAnsi="Times New Roman" w:eastAsia="宋体" w:cs="Times New Roman"/>
                <w:color w:val="auto"/>
                <w:sz w:val="28"/>
                <w:lang w:bidi="ar-SA"/>
              </w:rPr>
            </w:pPr>
            <w:r>
              <w:rPr>
                <w:rFonts w:hint="default" w:ascii="Times New Roman" w:hAnsi="Times New Roman" w:eastAsia="宋体" w:cs="Times New Roman"/>
                <w:color w:val="auto"/>
                <w:kern w:val="0"/>
                <w:sz w:val="28"/>
                <w:szCs w:val="20"/>
                <w:lang w:bidi="ar-SA"/>
              </w:rPr>
              <w:t>一、本年新收政府信息公开申请数量</w:t>
            </w:r>
          </w:p>
        </w:tc>
        <w:tc>
          <w:tcPr>
            <w:tcW w:w="683" w:type="dxa"/>
            <w:tcBorders>
              <w:top w:val="single" w:color="auto" w:sz="4" w:space="0"/>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sz w:val="24"/>
                <w:szCs w:val="24"/>
                <w:lang w:val="en-US" w:eastAsia="zh-CN"/>
              </w:rPr>
              <w:t>27</w:t>
            </w:r>
          </w:p>
        </w:tc>
        <w:tc>
          <w:tcPr>
            <w:tcW w:w="683" w:type="dxa"/>
            <w:tcBorders>
              <w:top w:val="single" w:color="auto" w:sz="4" w:space="0"/>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lang w:val="en-US" w:eastAsia="zh-CN"/>
              </w:rPr>
              <w:t>0</w:t>
            </w:r>
          </w:p>
        </w:tc>
        <w:tc>
          <w:tcPr>
            <w:tcW w:w="683" w:type="dxa"/>
            <w:tcBorders>
              <w:top w:val="single" w:color="auto" w:sz="4" w:space="0"/>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lang w:val="en-US" w:eastAsia="zh-CN"/>
              </w:rPr>
              <w:t>0</w:t>
            </w:r>
          </w:p>
        </w:tc>
        <w:tc>
          <w:tcPr>
            <w:tcW w:w="683" w:type="dxa"/>
            <w:tcBorders>
              <w:top w:val="single" w:color="auto" w:sz="4" w:space="0"/>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lang w:val="en-US" w:eastAsia="zh-CN"/>
              </w:rPr>
              <w:t>0</w:t>
            </w:r>
          </w:p>
        </w:tc>
        <w:tc>
          <w:tcPr>
            <w:tcW w:w="683" w:type="dxa"/>
            <w:tcBorders>
              <w:top w:val="single" w:color="auto" w:sz="4" w:space="0"/>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lang w:val="en-US" w:eastAsia="zh-CN"/>
              </w:rPr>
              <w:t>0</w:t>
            </w:r>
          </w:p>
        </w:tc>
        <w:tc>
          <w:tcPr>
            <w:tcW w:w="683" w:type="dxa"/>
            <w:tcBorders>
              <w:top w:val="single" w:color="auto" w:sz="4" w:space="0"/>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lang w:val="en-US" w:eastAsia="zh-CN"/>
              </w:rPr>
              <w:t>1</w:t>
            </w:r>
          </w:p>
        </w:tc>
        <w:tc>
          <w:tcPr>
            <w:tcW w:w="684"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lang w:val="en-US" w:eastAsia="zh-CN"/>
              </w:rPr>
              <w:t>2</w:t>
            </w:r>
            <w:r>
              <w:rPr>
                <w:rFonts w:hint="eastAsia" w:ascii="Times New Roman" w:hAnsi="Times New Roman" w:eastAsia="仿宋_GB2312" w:cs="Times New Roman"/>
                <w:color w:val="auto"/>
                <w:sz w:val="24"/>
                <w:szCs w:val="24"/>
                <w:lang w:val="en-US" w:eastAsia="zh-CN"/>
              </w:rPr>
              <w:t>8</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4966" w:type="dxa"/>
            <w:gridSpan w:val="3"/>
            <w:tcBorders>
              <w:top w:val="nil"/>
              <w:left w:val="single" w:color="auto" w:sz="8" w:space="0"/>
              <w:bottom w:val="single" w:color="auto" w:sz="4" w:space="0"/>
              <w:right w:val="single" w:color="auto" w:sz="8" w:space="0"/>
            </w:tcBorders>
            <w:noWrap w:val="0"/>
            <w:tcMar>
              <w:left w:w="57" w:type="dxa"/>
              <w:right w:w="57" w:type="dxa"/>
            </w:tcMar>
            <w:vAlign w:val="center"/>
          </w:tcPr>
          <w:p>
            <w:pPr>
              <w:widowControl/>
              <w:spacing w:line="440" w:lineRule="exact"/>
              <w:jc w:val="left"/>
              <w:rPr>
                <w:rFonts w:hint="default" w:ascii="Times New Roman" w:hAnsi="Times New Roman" w:eastAsia="宋体" w:cs="Times New Roman"/>
                <w:color w:val="auto"/>
                <w:sz w:val="28"/>
                <w:lang w:bidi="ar-SA"/>
              </w:rPr>
            </w:pPr>
            <w:r>
              <w:rPr>
                <w:rFonts w:hint="default" w:ascii="Times New Roman" w:hAnsi="Times New Roman" w:eastAsia="宋体" w:cs="Times New Roman"/>
                <w:color w:val="auto"/>
                <w:kern w:val="0"/>
                <w:sz w:val="28"/>
                <w:szCs w:val="20"/>
                <w:lang w:bidi="ar-SA"/>
              </w:rPr>
              <w:t>二、上年结转政府信息公开申请数量</w:t>
            </w:r>
          </w:p>
        </w:tc>
        <w:tc>
          <w:tcPr>
            <w:tcW w:w="683" w:type="dxa"/>
            <w:tcBorders>
              <w:top w:val="nil"/>
              <w:left w:val="nil"/>
              <w:bottom w:val="single" w:color="auto" w:sz="4"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lang w:val="en-US" w:eastAsia="zh-CN"/>
              </w:rPr>
              <w:t>0</w:t>
            </w:r>
          </w:p>
        </w:tc>
        <w:tc>
          <w:tcPr>
            <w:tcW w:w="683" w:type="dxa"/>
            <w:tcBorders>
              <w:top w:val="nil"/>
              <w:left w:val="nil"/>
              <w:bottom w:val="single" w:color="auto" w:sz="4"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lang w:val="en-US" w:eastAsia="zh-CN"/>
              </w:rPr>
              <w:t>0</w:t>
            </w:r>
          </w:p>
        </w:tc>
        <w:tc>
          <w:tcPr>
            <w:tcW w:w="683" w:type="dxa"/>
            <w:tcBorders>
              <w:top w:val="nil"/>
              <w:left w:val="nil"/>
              <w:bottom w:val="single" w:color="auto" w:sz="4"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lang w:val="en-US" w:eastAsia="zh-CN"/>
              </w:rPr>
              <w:t>0</w:t>
            </w:r>
          </w:p>
        </w:tc>
        <w:tc>
          <w:tcPr>
            <w:tcW w:w="683" w:type="dxa"/>
            <w:tcBorders>
              <w:top w:val="nil"/>
              <w:left w:val="nil"/>
              <w:bottom w:val="single" w:color="auto" w:sz="4"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lang w:val="en-US" w:eastAsia="zh-CN"/>
              </w:rPr>
              <w:t>0</w:t>
            </w:r>
          </w:p>
        </w:tc>
        <w:tc>
          <w:tcPr>
            <w:tcW w:w="683" w:type="dxa"/>
            <w:tcBorders>
              <w:top w:val="nil"/>
              <w:left w:val="nil"/>
              <w:bottom w:val="single" w:color="auto" w:sz="4"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lang w:val="en-US" w:eastAsia="zh-CN"/>
              </w:rPr>
              <w:t>0</w:t>
            </w:r>
          </w:p>
        </w:tc>
        <w:tc>
          <w:tcPr>
            <w:tcW w:w="683" w:type="dxa"/>
            <w:tcBorders>
              <w:top w:val="nil"/>
              <w:left w:val="nil"/>
              <w:bottom w:val="single" w:color="auto" w:sz="4"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lang w:val="en-US" w:eastAsia="zh-CN"/>
              </w:rPr>
              <w:t>0</w:t>
            </w:r>
          </w:p>
        </w:tc>
        <w:tc>
          <w:tcPr>
            <w:tcW w:w="684" w:type="dxa"/>
            <w:tcBorders>
              <w:top w:val="nil"/>
              <w:left w:val="nil"/>
              <w:bottom w:val="single" w:color="auto" w:sz="4"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51" w:type="dxa"/>
            <w:vMerge w:val="restart"/>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left"/>
              <w:rPr>
                <w:rFonts w:hint="default" w:ascii="Times New Roman" w:hAnsi="Times New Roman" w:eastAsia="宋体" w:cs="Times New Roman"/>
                <w:color w:val="auto"/>
                <w:sz w:val="28"/>
                <w:lang w:bidi="ar-SA"/>
              </w:rPr>
            </w:pPr>
            <w:r>
              <w:rPr>
                <w:rFonts w:hint="default" w:ascii="Times New Roman" w:hAnsi="Times New Roman" w:eastAsia="宋体" w:cs="Times New Roman"/>
                <w:color w:val="auto"/>
                <w:kern w:val="0"/>
                <w:sz w:val="28"/>
                <w:szCs w:val="20"/>
                <w:lang w:bidi="ar-SA"/>
              </w:rPr>
              <w:t>三、本年度办理结果</w:t>
            </w:r>
          </w:p>
        </w:tc>
        <w:tc>
          <w:tcPr>
            <w:tcW w:w="4215" w:type="dxa"/>
            <w:gridSpan w:val="2"/>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left"/>
              <w:rPr>
                <w:rFonts w:hint="default" w:ascii="Times New Roman" w:hAnsi="Times New Roman" w:eastAsia="宋体" w:cs="Times New Roman"/>
                <w:color w:val="auto"/>
                <w:sz w:val="28"/>
                <w:lang w:bidi="ar-SA"/>
              </w:rPr>
            </w:pPr>
            <w:r>
              <w:rPr>
                <w:rFonts w:hint="default" w:ascii="Times New Roman" w:hAnsi="Times New Roman" w:eastAsia="宋体" w:cs="Times New Roman"/>
                <w:color w:val="auto"/>
                <w:kern w:val="0"/>
                <w:sz w:val="28"/>
                <w:szCs w:val="20"/>
                <w:lang w:bidi="ar-SA"/>
              </w:rPr>
              <w:t>（一）予以公开</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lang w:val="en-US" w:eastAsia="zh-CN"/>
              </w:rPr>
              <w:t>3</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lang w:val="en-US" w:eastAsia="zh-CN"/>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lang w:val="en-US" w:eastAsia="zh-CN"/>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lang w:val="en-US" w:eastAsia="zh-CN"/>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lang w:val="en-US" w:eastAsia="zh-CN"/>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lang w:val="en-US" w:eastAsia="zh-CN"/>
              </w:rPr>
              <w:t>0</w:t>
            </w:r>
          </w:p>
        </w:tc>
        <w:tc>
          <w:tcPr>
            <w:tcW w:w="684"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lang w:val="en-US" w:eastAsia="zh-CN"/>
              </w:rPr>
              <w:t>3</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51" w:type="dxa"/>
            <w:vMerge w:val="continue"/>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rPr>
                <w:color w:val="auto"/>
              </w:rPr>
            </w:pPr>
          </w:p>
        </w:tc>
        <w:tc>
          <w:tcPr>
            <w:tcW w:w="4215" w:type="dxa"/>
            <w:gridSpan w:val="2"/>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left"/>
              <w:rPr>
                <w:rFonts w:hint="default" w:ascii="Times New Roman" w:hAnsi="Times New Roman" w:eastAsia="宋体" w:cs="Times New Roman"/>
                <w:color w:val="auto"/>
                <w:sz w:val="28"/>
                <w:lang w:bidi="ar-SA"/>
              </w:rPr>
            </w:pPr>
            <w:r>
              <w:rPr>
                <w:rFonts w:hint="default" w:ascii="Times New Roman" w:hAnsi="Times New Roman" w:eastAsia="宋体" w:cs="Times New Roman"/>
                <w:color w:val="auto"/>
                <w:kern w:val="0"/>
                <w:sz w:val="28"/>
                <w:szCs w:val="20"/>
                <w:lang w:bidi="ar-SA"/>
              </w:rPr>
              <w:t>（二）部分公开（区分处理的，只计这一情形，不计其他情形）</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lang w:val="en-US" w:eastAsia="zh-CN"/>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lang w:val="en-US" w:eastAsia="zh-CN"/>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lang w:val="en-US" w:eastAsia="zh-CN"/>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lang w:val="en-US" w:eastAsia="zh-CN"/>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lang w:val="en-US" w:eastAsia="zh-CN"/>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lang w:val="en-US" w:eastAsia="zh-CN"/>
              </w:rPr>
              <w:t>0</w:t>
            </w:r>
          </w:p>
        </w:tc>
        <w:tc>
          <w:tcPr>
            <w:tcW w:w="684"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51" w:type="dxa"/>
            <w:vMerge w:val="continue"/>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rPr>
                <w:color w:val="auto"/>
              </w:rPr>
            </w:pPr>
          </w:p>
        </w:tc>
        <w:tc>
          <w:tcPr>
            <w:tcW w:w="954" w:type="dxa"/>
            <w:vMerge w:val="restart"/>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left"/>
              <w:rPr>
                <w:rFonts w:hint="default" w:ascii="Times New Roman" w:hAnsi="Times New Roman" w:eastAsia="宋体" w:cs="Times New Roman"/>
                <w:color w:val="auto"/>
                <w:sz w:val="28"/>
                <w:lang w:bidi="ar-SA"/>
              </w:rPr>
            </w:pPr>
            <w:r>
              <w:rPr>
                <w:rFonts w:hint="default" w:ascii="Times New Roman" w:hAnsi="Times New Roman" w:eastAsia="宋体" w:cs="Times New Roman"/>
                <w:color w:val="auto"/>
                <w:kern w:val="0"/>
                <w:sz w:val="28"/>
                <w:szCs w:val="20"/>
                <w:lang w:bidi="ar-SA"/>
              </w:rPr>
              <w:t>（三）不予公开</w:t>
            </w:r>
          </w:p>
        </w:tc>
        <w:tc>
          <w:tcPr>
            <w:tcW w:w="3261"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widowControl/>
              <w:spacing w:line="440" w:lineRule="exact"/>
              <w:jc w:val="left"/>
              <w:rPr>
                <w:rFonts w:hint="default" w:ascii="Times New Roman" w:hAnsi="Times New Roman" w:eastAsia="宋体" w:cs="Times New Roman"/>
                <w:color w:val="auto"/>
                <w:sz w:val="28"/>
                <w:lang w:bidi="ar-SA"/>
              </w:rPr>
            </w:pPr>
            <w:r>
              <w:rPr>
                <w:rFonts w:hint="default" w:ascii="Times New Roman" w:hAnsi="Times New Roman" w:eastAsia="宋体" w:cs="Times New Roman"/>
                <w:color w:val="auto"/>
                <w:kern w:val="0"/>
                <w:sz w:val="28"/>
                <w:szCs w:val="20"/>
                <w:lang w:bidi="ar-SA"/>
              </w:rPr>
              <w:t>1.属于国家秘密</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lang w:val="en-US" w:eastAsia="zh-CN"/>
              </w:rPr>
              <w:t>1</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lang w:val="en-US" w:eastAsia="zh-CN"/>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lang w:val="en-US" w:eastAsia="zh-CN"/>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lang w:val="en-US" w:eastAsia="zh-CN"/>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lang w:val="en-US" w:eastAsia="zh-CN"/>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lang w:val="en-US" w:eastAsia="zh-CN"/>
              </w:rPr>
              <w:t>0</w:t>
            </w:r>
          </w:p>
        </w:tc>
        <w:tc>
          <w:tcPr>
            <w:tcW w:w="684"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lang w:val="en-US" w:eastAsia="zh-CN"/>
              </w:rPr>
              <w:t>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51" w:type="dxa"/>
            <w:vMerge w:val="continue"/>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rPr>
                <w:color w:val="auto"/>
              </w:rPr>
            </w:pPr>
          </w:p>
        </w:tc>
        <w:tc>
          <w:tcPr>
            <w:tcW w:w="954" w:type="dxa"/>
            <w:vMerge w:val="continue"/>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rPr>
                <w:color w:val="auto"/>
              </w:rPr>
            </w:pPr>
          </w:p>
        </w:tc>
        <w:tc>
          <w:tcPr>
            <w:tcW w:w="3261"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widowControl/>
              <w:spacing w:line="440" w:lineRule="exact"/>
              <w:jc w:val="left"/>
              <w:rPr>
                <w:rFonts w:hint="default" w:ascii="Times New Roman" w:hAnsi="Times New Roman" w:eastAsia="宋体" w:cs="Times New Roman"/>
                <w:color w:val="auto"/>
                <w:sz w:val="28"/>
                <w:lang w:bidi="ar-SA"/>
              </w:rPr>
            </w:pPr>
            <w:r>
              <w:rPr>
                <w:rFonts w:hint="default" w:ascii="Times New Roman" w:hAnsi="Times New Roman" w:eastAsia="宋体" w:cs="Times New Roman"/>
                <w:color w:val="auto"/>
                <w:kern w:val="0"/>
                <w:sz w:val="28"/>
                <w:szCs w:val="20"/>
                <w:lang w:bidi="ar-SA"/>
              </w:rPr>
              <w:t>2.其他法律行政法规禁止公开</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lang w:val="en-US" w:eastAsia="zh-CN"/>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lang w:val="en-US" w:eastAsia="zh-CN"/>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lang w:val="en-US" w:eastAsia="zh-CN"/>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lang w:val="en-US" w:eastAsia="zh-CN"/>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lang w:val="en-US" w:eastAsia="zh-CN"/>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lang w:val="en-US" w:eastAsia="zh-CN"/>
              </w:rPr>
              <w:t>0</w:t>
            </w:r>
          </w:p>
        </w:tc>
        <w:tc>
          <w:tcPr>
            <w:tcW w:w="684"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51" w:type="dxa"/>
            <w:vMerge w:val="continue"/>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rPr>
                <w:color w:val="auto"/>
              </w:rPr>
            </w:pPr>
          </w:p>
        </w:tc>
        <w:tc>
          <w:tcPr>
            <w:tcW w:w="954" w:type="dxa"/>
            <w:vMerge w:val="continue"/>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rPr>
                <w:color w:val="auto"/>
              </w:rPr>
            </w:pPr>
          </w:p>
        </w:tc>
        <w:tc>
          <w:tcPr>
            <w:tcW w:w="3261"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widowControl/>
              <w:spacing w:line="440" w:lineRule="exact"/>
              <w:jc w:val="left"/>
              <w:rPr>
                <w:rFonts w:hint="default" w:ascii="Times New Roman" w:hAnsi="Times New Roman" w:eastAsia="宋体" w:cs="Times New Roman"/>
                <w:color w:val="auto"/>
                <w:sz w:val="28"/>
                <w:lang w:bidi="ar-SA"/>
              </w:rPr>
            </w:pPr>
            <w:r>
              <w:rPr>
                <w:rFonts w:hint="default" w:ascii="Times New Roman" w:hAnsi="Times New Roman" w:eastAsia="宋体" w:cs="Times New Roman"/>
                <w:color w:val="auto"/>
                <w:kern w:val="0"/>
                <w:sz w:val="28"/>
                <w:szCs w:val="20"/>
                <w:lang w:bidi="ar-SA"/>
              </w:rPr>
              <w:t>3.危及“三安全一稳定”</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lang w:val="en-US" w:eastAsia="zh-CN"/>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lang w:val="en-US" w:eastAsia="zh-CN"/>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lang w:val="en-US" w:eastAsia="zh-CN"/>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lang w:val="en-US" w:eastAsia="zh-CN"/>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lang w:val="en-US" w:eastAsia="zh-CN"/>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lang w:val="en-US" w:eastAsia="zh-CN"/>
              </w:rPr>
              <w:t>0</w:t>
            </w:r>
          </w:p>
        </w:tc>
        <w:tc>
          <w:tcPr>
            <w:tcW w:w="684"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51" w:type="dxa"/>
            <w:vMerge w:val="continue"/>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rPr>
                <w:color w:val="auto"/>
              </w:rPr>
            </w:pPr>
          </w:p>
        </w:tc>
        <w:tc>
          <w:tcPr>
            <w:tcW w:w="954" w:type="dxa"/>
            <w:vMerge w:val="continue"/>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rPr>
                <w:color w:val="auto"/>
              </w:rPr>
            </w:pPr>
          </w:p>
        </w:tc>
        <w:tc>
          <w:tcPr>
            <w:tcW w:w="3261"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widowControl/>
              <w:spacing w:line="440" w:lineRule="exact"/>
              <w:jc w:val="left"/>
              <w:rPr>
                <w:rFonts w:hint="default" w:ascii="Times New Roman" w:hAnsi="Times New Roman" w:eastAsia="宋体" w:cs="Times New Roman"/>
                <w:color w:val="auto"/>
                <w:sz w:val="28"/>
                <w:lang w:bidi="ar-SA"/>
              </w:rPr>
            </w:pPr>
            <w:r>
              <w:rPr>
                <w:rFonts w:hint="default" w:ascii="Times New Roman" w:hAnsi="Times New Roman" w:eastAsia="宋体" w:cs="Times New Roman"/>
                <w:color w:val="auto"/>
                <w:kern w:val="0"/>
                <w:sz w:val="28"/>
                <w:szCs w:val="20"/>
                <w:lang w:bidi="ar-SA"/>
              </w:rPr>
              <w:t>4.保护第三方合法权益</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lang w:val="en-US" w:eastAsia="zh-CN"/>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lang w:val="en-US" w:eastAsia="zh-CN"/>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lang w:val="en-US" w:eastAsia="zh-CN"/>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lang w:val="en-US" w:eastAsia="zh-CN"/>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lang w:val="en-US" w:eastAsia="zh-CN"/>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lang w:val="en-US" w:eastAsia="zh-CN"/>
              </w:rPr>
              <w:t>0</w:t>
            </w:r>
          </w:p>
        </w:tc>
        <w:tc>
          <w:tcPr>
            <w:tcW w:w="684"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51" w:type="dxa"/>
            <w:vMerge w:val="continue"/>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rPr>
                <w:color w:val="auto"/>
              </w:rPr>
            </w:pPr>
          </w:p>
        </w:tc>
        <w:tc>
          <w:tcPr>
            <w:tcW w:w="954" w:type="dxa"/>
            <w:vMerge w:val="continue"/>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rPr>
                <w:color w:val="auto"/>
              </w:rPr>
            </w:pPr>
          </w:p>
        </w:tc>
        <w:tc>
          <w:tcPr>
            <w:tcW w:w="3261"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widowControl/>
              <w:spacing w:line="440" w:lineRule="exact"/>
              <w:jc w:val="left"/>
              <w:rPr>
                <w:rFonts w:hint="default" w:ascii="Times New Roman" w:hAnsi="Times New Roman" w:eastAsia="宋体" w:cs="Times New Roman"/>
                <w:color w:val="auto"/>
                <w:sz w:val="28"/>
                <w:lang w:bidi="ar-SA"/>
              </w:rPr>
            </w:pPr>
            <w:r>
              <w:rPr>
                <w:rFonts w:hint="default" w:ascii="Times New Roman" w:hAnsi="Times New Roman" w:eastAsia="宋体" w:cs="Times New Roman"/>
                <w:color w:val="auto"/>
                <w:kern w:val="0"/>
                <w:sz w:val="28"/>
                <w:szCs w:val="20"/>
                <w:lang w:bidi="ar-SA"/>
              </w:rPr>
              <w:t>5.属于三类内部事务信息</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lang w:val="en-US" w:eastAsia="zh-CN"/>
              </w:rPr>
              <w:t>1</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lang w:val="en-US" w:eastAsia="zh-CN"/>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lang w:val="en-US" w:eastAsia="zh-CN"/>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lang w:val="en-US" w:eastAsia="zh-CN"/>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lang w:val="en-US" w:eastAsia="zh-CN"/>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lang w:val="en-US" w:eastAsia="zh-CN"/>
              </w:rPr>
              <w:t>0</w:t>
            </w:r>
          </w:p>
        </w:tc>
        <w:tc>
          <w:tcPr>
            <w:tcW w:w="684"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lang w:val="en-US" w:eastAsia="zh-CN"/>
              </w:rPr>
              <w:t>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51" w:type="dxa"/>
            <w:vMerge w:val="continue"/>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rPr>
                <w:color w:val="auto"/>
              </w:rPr>
            </w:pPr>
          </w:p>
        </w:tc>
        <w:tc>
          <w:tcPr>
            <w:tcW w:w="954" w:type="dxa"/>
            <w:vMerge w:val="continue"/>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rPr>
                <w:color w:val="auto"/>
              </w:rPr>
            </w:pPr>
          </w:p>
        </w:tc>
        <w:tc>
          <w:tcPr>
            <w:tcW w:w="3261"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widowControl/>
              <w:spacing w:line="440" w:lineRule="exact"/>
              <w:jc w:val="left"/>
              <w:rPr>
                <w:rFonts w:hint="default" w:ascii="Times New Roman" w:hAnsi="Times New Roman" w:eastAsia="宋体" w:cs="Times New Roman"/>
                <w:color w:val="auto"/>
                <w:sz w:val="28"/>
                <w:lang w:bidi="ar-SA"/>
              </w:rPr>
            </w:pPr>
            <w:r>
              <w:rPr>
                <w:rFonts w:hint="default" w:ascii="Times New Roman" w:hAnsi="Times New Roman" w:eastAsia="宋体" w:cs="Times New Roman"/>
                <w:color w:val="auto"/>
                <w:kern w:val="0"/>
                <w:sz w:val="28"/>
                <w:szCs w:val="20"/>
                <w:lang w:bidi="ar-SA"/>
              </w:rPr>
              <w:t>6.属于四类过程性信息</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lang w:val="en-US" w:eastAsia="zh-CN"/>
              </w:rPr>
              <w:t>2</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lang w:val="en-US" w:eastAsia="zh-CN"/>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lang w:val="en-US" w:eastAsia="zh-CN"/>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lang w:val="en-US" w:eastAsia="zh-CN"/>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lang w:val="en-US" w:eastAsia="zh-CN"/>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lang w:val="en-US" w:eastAsia="zh-CN"/>
              </w:rPr>
              <w:t>0</w:t>
            </w:r>
          </w:p>
        </w:tc>
        <w:tc>
          <w:tcPr>
            <w:tcW w:w="684"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lang w:val="en-US" w:eastAsia="zh-CN"/>
              </w:rPr>
              <w:t>2</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51" w:type="dxa"/>
            <w:vMerge w:val="continue"/>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rPr>
                <w:color w:val="auto"/>
              </w:rPr>
            </w:pPr>
          </w:p>
        </w:tc>
        <w:tc>
          <w:tcPr>
            <w:tcW w:w="954" w:type="dxa"/>
            <w:vMerge w:val="continue"/>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rPr>
                <w:color w:val="auto"/>
              </w:rPr>
            </w:pPr>
          </w:p>
        </w:tc>
        <w:tc>
          <w:tcPr>
            <w:tcW w:w="3261"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widowControl/>
              <w:spacing w:line="440" w:lineRule="exact"/>
              <w:jc w:val="left"/>
              <w:rPr>
                <w:rFonts w:hint="default" w:ascii="Times New Roman" w:hAnsi="Times New Roman" w:eastAsia="宋体" w:cs="Times New Roman"/>
                <w:color w:val="auto"/>
                <w:sz w:val="28"/>
                <w:lang w:bidi="ar-SA"/>
              </w:rPr>
            </w:pPr>
            <w:r>
              <w:rPr>
                <w:rFonts w:hint="default" w:ascii="Times New Roman" w:hAnsi="Times New Roman" w:eastAsia="宋体" w:cs="Times New Roman"/>
                <w:color w:val="auto"/>
                <w:kern w:val="0"/>
                <w:sz w:val="28"/>
                <w:szCs w:val="20"/>
                <w:lang w:bidi="ar-SA"/>
              </w:rPr>
              <w:t>7.属于行政执法案卷</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lang w:val="en-US" w:eastAsia="zh-CN"/>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lang w:val="en-US" w:eastAsia="zh-CN"/>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lang w:val="en-US" w:eastAsia="zh-CN"/>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lang w:val="en-US" w:eastAsia="zh-CN"/>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lang w:val="en-US" w:eastAsia="zh-CN"/>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lang w:val="en-US" w:eastAsia="zh-CN"/>
              </w:rPr>
              <w:t>0</w:t>
            </w:r>
          </w:p>
        </w:tc>
        <w:tc>
          <w:tcPr>
            <w:tcW w:w="684"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51" w:type="dxa"/>
            <w:vMerge w:val="continue"/>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rPr>
                <w:color w:val="auto"/>
              </w:rPr>
            </w:pPr>
          </w:p>
        </w:tc>
        <w:tc>
          <w:tcPr>
            <w:tcW w:w="954" w:type="dxa"/>
            <w:vMerge w:val="continue"/>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rPr>
                <w:color w:val="auto"/>
              </w:rPr>
            </w:pPr>
          </w:p>
        </w:tc>
        <w:tc>
          <w:tcPr>
            <w:tcW w:w="3261"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widowControl/>
              <w:spacing w:line="440" w:lineRule="exact"/>
              <w:jc w:val="left"/>
              <w:rPr>
                <w:rFonts w:hint="default" w:ascii="Times New Roman" w:hAnsi="Times New Roman" w:eastAsia="宋体" w:cs="Times New Roman"/>
                <w:color w:val="auto"/>
                <w:sz w:val="28"/>
                <w:lang w:bidi="ar-SA"/>
              </w:rPr>
            </w:pPr>
            <w:r>
              <w:rPr>
                <w:rFonts w:hint="default" w:ascii="Times New Roman" w:hAnsi="Times New Roman" w:eastAsia="宋体" w:cs="Times New Roman"/>
                <w:color w:val="auto"/>
                <w:kern w:val="0"/>
                <w:sz w:val="28"/>
                <w:szCs w:val="20"/>
                <w:lang w:bidi="ar-SA"/>
              </w:rPr>
              <w:t>8.属于行政查询事项</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lang w:val="en-US" w:eastAsia="zh-CN"/>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lang w:val="en-US" w:eastAsia="zh-CN"/>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lang w:val="en-US" w:eastAsia="zh-CN"/>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lang w:val="en-US" w:eastAsia="zh-CN"/>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lang w:val="en-US" w:eastAsia="zh-CN"/>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lang w:val="en-US" w:eastAsia="zh-CN"/>
              </w:rPr>
              <w:t>0</w:t>
            </w:r>
          </w:p>
        </w:tc>
        <w:tc>
          <w:tcPr>
            <w:tcW w:w="684"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51" w:type="dxa"/>
            <w:vMerge w:val="continue"/>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rPr>
                <w:color w:val="auto"/>
              </w:rPr>
            </w:pPr>
          </w:p>
        </w:tc>
        <w:tc>
          <w:tcPr>
            <w:tcW w:w="954" w:type="dxa"/>
            <w:vMerge w:val="restart"/>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left"/>
              <w:rPr>
                <w:rFonts w:hint="default" w:ascii="Times New Roman" w:hAnsi="Times New Roman" w:eastAsia="宋体" w:cs="Times New Roman"/>
                <w:color w:val="auto"/>
                <w:sz w:val="28"/>
                <w:lang w:bidi="ar-SA"/>
              </w:rPr>
            </w:pPr>
            <w:r>
              <w:rPr>
                <w:rFonts w:hint="default" w:ascii="Times New Roman" w:hAnsi="Times New Roman" w:eastAsia="宋体" w:cs="Times New Roman"/>
                <w:color w:val="auto"/>
                <w:kern w:val="0"/>
                <w:sz w:val="28"/>
                <w:szCs w:val="20"/>
                <w:lang w:bidi="ar-SA"/>
              </w:rPr>
              <w:t>（四）无法提供</w:t>
            </w:r>
          </w:p>
        </w:tc>
        <w:tc>
          <w:tcPr>
            <w:tcW w:w="3261"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widowControl/>
              <w:spacing w:line="440" w:lineRule="exact"/>
              <w:jc w:val="left"/>
              <w:rPr>
                <w:rFonts w:hint="default" w:ascii="Times New Roman" w:hAnsi="Times New Roman" w:eastAsia="宋体" w:cs="Times New Roman"/>
                <w:color w:val="auto"/>
                <w:sz w:val="28"/>
                <w:lang w:bidi="ar-SA"/>
              </w:rPr>
            </w:pPr>
            <w:r>
              <w:rPr>
                <w:rFonts w:hint="default" w:ascii="Times New Roman" w:hAnsi="Times New Roman" w:eastAsia="宋体" w:cs="Times New Roman"/>
                <w:color w:val="auto"/>
                <w:kern w:val="0"/>
                <w:sz w:val="28"/>
                <w:szCs w:val="20"/>
                <w:lang w:bidi="ar-SA"/>
              </w:rPr>
              <w:t>1.本机关不掌握相关政府信息</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lang w:val="en-US" w:eastAsia="zh-CN"/>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lang w:val="en-US" w:eastAsia="zh-CN"/>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lang w:val="en-US" w:eastAsia="zh-CN"/>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lang w:val="en-US" w:eastAsia="zh-CN"/>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lang w:val="en-US" w:eastAsia="zh-CN"/>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lang w:val="en-US" w:eastAsia="zh-CN"/>
              </w:rPr>
              <w:t>0</w:t>
            </w:r>
          </w:p>
        </w:tc>
        <w:tc>
          <w:tcPr>
            <w:tcW w:w="684"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51" w:type="dxa"/>
            <w:vMerge w:val="continue"/>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rPr>
                <w:color w:val="auto"/>
              </w:rPr>
            </w:pPr>
          </w:p>
        </w:tc>
        <w:tc>
          <w:tcPr>
            <w:tcW w:w="954" w:type="dxa"/>
            <w:vMerge w:val="continue"/>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rPr>
                <w:color w:val="auto"/>
              </w:rPr>
            </w:pPr>
          </w:p>
        </w:tc>
        <w:tc>
          <w:tcPr>
            <w:tcW w:w="3261"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widowControl/>
              <w:spacing w:line="440" w:lineRule="exact"/>
              <w:jc w:val="left"/>
              <w:rPr>
                <w:rFonts w:hint="default" w:ascii="Times New Roman" w:hAnsi="Times New Roman" w:eastAsia="宋体" w:cs="Times New Roman"/>
                <w:color w:val="auto"/>
                <w:sz w:val="28"/>
                <w:lang w:bidi="ar-SA"/>
              </w:rPr>
            </w:pPr>
            <w:r>
              <w:rPr>
                <w:rFonts w:hint="default" w:ascii="Times New Roman" w:hAnsi="Times New Roman" w:eastAsia="宋体" w:cs="Times New Roman"/>
                <w:color w:val="auto"/>
                <w:kern w:val="0"/>
                <w:sz w:val="28"/>
                <w:szCs w:val="20"/>
                <w:lang w:bidi="ar-SA"/>
              </w:rPr>
              <w:t>2.没有现成信息需要另行制作</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lang w:val="en-US" w:eastAsia="zh-CN"/>
              </w:rPr>
              <w:t>11</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lang w:val="en-US" w:eastAsia="zh-CN"/>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lang w:val="en-US" w:eastAsia="zh-CN"/>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lang w:val="en-US" w:eastAsia="zh-CN"/>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lang w:val="en-US" w:eastAsia="zh-CN"/>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lang w:val="en-US" w:eastAsia="zh-CN"/>
              </w:rPr>
              <w:t>1</w:t>
            </w:r>
          </w:p>
        </w:tc>
        <w:tc>
          <w:tcPr>
            <w:tcW w:w="684"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lang w:val="en-US" w:eastAsia="zh-CN"/>
              </w:rPr>
              <w:t>12</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51" w:type="dxa"/>
            <w:vMerge w:val="continue"/>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rPr>
                <w:color w:val="auto"/>
              </w:rPr>
            </w:pPr>
          </w:p>
        </w:tc>
        <w:tc>
          <w:tcPr>
            <w:tcW w:w="954" w:type="dxa"/>
            <w:vMerge w:val="continue"/>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rPr>
                <w:color w:val="auto"/>
              </w:rPr>
            </w:pPr>
          </w:p>
        </w:tc>
        <w:tc>
          <w:tcPr>
            <w:tcW w:w="3261"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widowControl/>
              <w:spacing w:line="440" w:lineRule="exact"/>
              <w:jc w:val="left"/>
              <w:rPr>
                <w:rFonts w:hint="default" w:ascii="Times New Roman" w:hAnsi="Times New Roman" w:eastAsia="宋体" w:cs="Times New Roman"/>
                <w:color w:val="auto"/>
                <w:sz w:val="28"/>
                <w:lang w:bidi="ar-SA"/>
              </w:rPr>
            </w:pPr>
            <w:r>
              <w:rPr>
                <w:rFonts w:hint="default" w:ascii="Times New Roman" w:hAnsi="Times New Roman" w:eastAsia="宋体" w:cs="Times New Roman"/>
                <w:color w:val="auto"/>
                <w:kern w:val="0"/>
                <w:sz w:val="28"/>
                <w:szCs w:val="20"/>
                <w:lang w:bidi="ar-SA"/>
              </w:rPr>
              <w:t>3.补正后申请内容仍不明确</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lang w:val="en-US" w:eastAsia="zh-CN"/>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lang w:val="en-US" w:eastAsia="zh-CN"/>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lang w:val="en-US" w:eastAsia="zh-CN"/>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lang w:val="en-US" w:eastAsia="zh-CN"/>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lang w:val="en-US" w:eastAsia="zh-CN"/>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lang w:val="en-US" w:eastAsia="zh-CN"/>
              </w:rPr>
              <w:t>0</w:t>
            </w:r>
          </w:p>
        </w:tc>
        <w:tc>
          <w:tcPr>
            <w:tcW w:w="684"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51" w:type="dxa"/>
            <w:vMerge w:val="continue"/>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rPr>
                <w:color w:val="auto"/>
              </w:rPr>
            </w:pPr>
          </w:p>
        </w:tc>
        <w:tc>
          <w:tcPr>
            <w:tcW w:w="954" w:type="dxa"/>
            <w:vMerge w:val="restart"/>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left"/>
              <w:rPr>
                <w:rFonts w:hint="default" w:ascii="Times New Roman" w:hAnsi="Times New Roman" w:eastAsia="宋体" w:cs="Times New Roman"/>
                <w:color w:val="auto"/>
                <w:sz w:val="28"/>
                <w:lang w:bidi="ar-SA"/>
              </w:rPr>
            </w:pPr>
            <w:r>
              <w:rPr>
                <w:rFonts w:hint="default" w:ascii="Times New Roman" w:hAnsi="Times New Roman" w:eastAsia="宋体" w:cs="Times New Roman"/>
                <w:color w:val="auto"/>
                <w:kern w:val="0"/>
                <w:sz w:val="28"/>
                <w:szCs w:val="20"/>
                <w:lang w:bidi="ar-SA"/>
              </w:rPr>
              <w:t>（五）不予处理</w:t>
            </w:r>
          </w:p>
        </w:tc>
        <w:tc>
          <w:tcPr>
            <w:tcW w:w="3261"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widowControl/>
              <w:spacing w:line="440" w:lineRule="exact"/>
              <w:jc w:val="left"/>
              <w:rPr>
                <w:rFonts w:hint="default" w:ascii="Times New Roman" w:hAnsi="Times New Roman" w:eastAsia="宋体" w:cs="Times New Roman"/>
                <w:color w:val="auto"/>
                <w:sz w:val="28"/>
                <w:lang w:bidi="ar-SA"/>
              </w:rPr>
            </w:pPr>
            <w:r>
              <w:rPr>
                <w:rFonts w:hint="default" w:ascii="Times New Roman" w:hAnsi="Times New Roman" w:eastAsia="宋体" w:cs="Times New Roman"/>
                <w:color w:val="auto"/>
                <w:kern w:val="0"/>
                <w:sz w:val="28"/>
                <w:szCs w:val="20"/>
                <w:lang w:bidi="ar-SA"/>
              </w:rPr>
              <w:t>1.信访举报投诉类申请</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lang w:val="en-US" w:eastAsia="zh-CN"/>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lang w:val="en-US" w:eastAsia="zh-CN"/>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lang w:val="en-US" w:eastAsia="zh-CN"/>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lang w:val="en-US" w:eastAsia="zh-CN"/>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lang w:val="en-US" w:eastAsia="zh-CN"/>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lang w:val="en-US" w:eastAsia="zh-CN"/>
              </w:rPr>
              <w:t>0</w:t>
            </w:r>
          </w:p>
        </w:tc>
        <w:tc>
          <w:tcPr>
            <w:tcW w:w="684"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51" w:type="dxa"/>
            <w:vMerge w:val="continue"/>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rPr>
                <w:color w:val="auto"/>
              </w:rPr>
            </w:pPr>
          </w:p>
        </w:tc>
        <w:tc>
          <w:tcPr>
            <w:tcW w:w="954" w:type="dxa"/>
            <w:vMerge w:val="continue"/>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rPr>
                <w:color w:val="auto"/>
              </w:rPr>
            </w:pPr>
          </w:p>
        </w:tc>
        <w:tc>
          <w:tcPr>
            <w:tcW w:w="3261"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widowControl/>
              <w:spacing w:line="440" w:lineRule="exact"/>
              <w:jc w:val="left"/>
              <w:rPr>
                <w:rFonts w:hint="default" w:ascii="Times New Roman" w:hAnsi="Times New Roman" w:eastAsia="宋体" w:cs="Times New Roman"/>
                <w:color w:val="auto"/>
                <w:sz w:val="28"/>
                <w:lang w:bidi="ar-SA"/>
              </w:rPr>
            </w:pPr>
            <w:r>
              <w:rPr>
                <w:rFonts w:hint="default" w:ascii="Times New Roman" w:hAnsi="Times New Roman" w:eastAsia="宋体" w:cs="Times New Roman"/>
                <w:color w:val="auto"/>
                <w:kern w:val="0"/>
                <w:sz w:val="28"/>
                <w:szCs w:val="20"/>
                <w:lang w:bidi="ar-SA"/>
              </w:rPr>
              <w:t>2.重复申请</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lang w:val="en-US" w:eastAsia="zh-CN"/>
              </w:rPr>
              <w:t>1</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lang w:val="en-US" w:eastAsia="zh-CN"/>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lang w:val="en-US" w:eastAsia="zh-CN"/>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lang w:val="en-US" w:eastAsia="zh-CN"/>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lang w:val="en-US" w:eastAsia="zh-CN"/>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lang w:val="en-US" w:eastAsia="zh-CN"/>
              </w:rPr>
              <w:t>0</w:t>
            </w:r>
          </w:p>
        </w:tc>
        <w:tc>
          <w:tcPr>
            <w:tcW w:w="684"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lang w:val="en-US" w:eastAsia="zh-CN"/>
              </w:rPr>
              <w:t>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51" w:type="dxa"/>
            <w:vMerge w:val="continue"/>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rPr>
                <w:color w:val="auto"/>
              </w:rPr>
            </w:pPr>
          </w:p>
        </w:tc>
        <w:tc>
          <w:tcPr>
            <w:tcW w:w="954" w:type="dxa"/>
            <w:vMerge w:val="continue"/>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rPr>
                <w:color w:val="auto"/>
              </w:rPr>
            </w:pPr>
          </w:p>
        </w:tc>
        <w:tc>
          <w:tcPr>
            <w:tcW w:w="3261"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widowControl/>
              <w:spacing w:line="440" w:lineRule="exact"/>
              <w:jc w:val="left"/>
              <w:rPr>
                <w:rFonts w:hint="default" w:ascii="Times New Roman" w:hAnsi="Times New Roman" w:eastAsia="宋体" w:cs="Times New Roman"/>
                <w:color w:val="auto"/>
                <w:sz w:val="28"/>
                <w:lang w:bidi="ar-SA"/>
              </w:rPr>
            </w:pPr>
            <w:r>
              <w:rPr>
                <w:rFonts w:hint="default" w:ascii="Times New Roman" w:hAnsi="Times New Roman" w:eastAsia="宋体" w:cs="Times New Roman"/>
                <w:color w:val="auto"/>
                <w:kern w:val="0"/>
                <w:sz w:val="28"/>
                <w:szCs w:val="20"/>
                <w:lang w:bidi="ar-SA"/>
              </w:rPr>
              <w:t>3.要求提供公开出版物</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lang w:val="en-US" w:eastAsia="zh-CN"/>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lang w:val="en-US" w:eastAsia="zh-CN"/>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lang w:val="en-US" w:eastAsia="zh-CN"/>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lang w:val="en-US" w:eastAsia="zh-CN"/>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lang w:val="en-US" w:eastAsia="zh-CN"/>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lang w:val="en-US" w:eastAsia="zh-CN"/>
              </w:rPr>
              <w:t>0</w:t>
            </w:r>
          </w:p>
        </w:tc>
        <w:tc>
          <w:tcPr>
            <w:tcW w:w="684"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51" w:type="dxa"/>
            <w:vMerge w:val="continue"/>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rPr>
                <w:color w:val="auto"/>
              </w:rPr>
            </w:pPr>
          </w:p>
        </w:tc>
        <w:tc>
          <w:tcPr>
            <w:tcW w:w="954" w:type="dxa"/>
            <w:vMerge w:val="continue"/>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rPr>
                <w:color w:val="auto"/>
              </w:rPr>
            </w:pPr>
          </w:p>
        </w:tc>
        <w:tc>
          <w:tcPr>
            <w:tcW w:w="3261"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widowControl/>
              <w:spacing w:line="440" w:lineRule="exact"/>
              <w:jc w:val="left"/>
              <w:rPr>
                <w:rFonts w:hint="default" w:ascii="Times New Roman" w:hAnsi="Times New Roman" w:eastAsia="宋体" w:cs="Times New Roman"/>
                <w:color w:val="auto"/>
                <w:sz w:val="28"/>
                <w:lang w:bidi="ar-SA"/>
              </w:rPr>
            </w:pPr>
            <w:r>
              <w:rPr>
                <w:rFonts w:hint="default" w:ascii="Times New Roman" w:hAnsi="Times New Roman" w:eastAsia="宋体" w:cs="Times New Roman"/>
                <w:color w:val="auto"/>
                <w:kern w:val="0"/>
                <w:sz w:val="28"/>
                <w:szCs w:val="20"/>
                <w:lang w:bidi="ar-SA"/>
              </w:rPr>
              <w:t>4.无正当理由大量反复申请</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lang w:val="en-US" w:eastAsia="zh-CN"/>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lang w:val="en-US" w:eastAsia="zh-CN"/>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lang w:val="en-US" w:eastAsia="zh-CN"/>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lang w:val="en-US" w:eastAsia="zh-CN"/>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lang w:val="en-US" w:eastAsia="zh-CN"/>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lang w:val="en-US" w:eastAsia="zh-CN"/>
              </w:rPr>
              <w:t>0</w:t>
            </w:r>
          </w:p>
        </w:tc>
        <w:tc>
          <w:tcPr>
            <w:tcW w:w="684"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779" w:hRule="atLeast"/>
          <w:jc w:val="center"/>
        </w:trPr>
        <w:tc>
          <w:tcPr>
            <w:tcW w:w="751" w:type="dxa"/>
            <w:vMerge w:val="continue"/>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rPr>
                <w:color w:val="auto"/>
              </w:rPr>
            </w:pPr>
          </w:p>
        </w:tc>
        <w:tc>
          <w:tcPr>
            <w:tcW w:w="954" w:type="dxa"/>
            <w:vMerge w:val="continue"/>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rPr>
                <w:color w:val="auto"/>
              </w:rPr>
            </w:pPr>
          </w:p>
        </w:tc>
        <w:tc>
          <w:tcPr>
            <w:tcW w:w="3261"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rPr>
                <w:rFonts w:hint="default" w:ascii="Times New Roman" w:hAnsi="Times New Roman" w:eastAsia="宋体" w:cs="Times New Roman"/>
                <w:color w:val="auto"/>
                <w:sz w:val="28"/>
                <w:lang w:bidi="ar-SA"/>
              </w:rPr>
            </w:pPr>
            <w:r>
              <w:rPr>
                <w:rFonts w:hint="default" w:ascii="Times New Roman" w:hAnsi="Times New Roman" w:eastAsia="宋体" w:cs="Times New Roman"/>
                <w:color w:val="auto"/>
                <w:kern w:val="0"/>
                <w:sz w:val="28"/>
                <w:szCs w:val="20"/>
                <w:lang w:bidi="ar-SA"/>
              </w:rPr>
              <w:t>5.要求行政机关确认或重新出具已获取信息</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lang w:val="en-US" w:eastAsia="zh-CN"/>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lang w:val="en-US" w:eastAsia="zh-CN"/>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lang w:val="en-US" w:eastAsia="zh-CN"/>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lang w:val="en-US" w:eastAsia="zh-CN"/>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lang w:val="en-US" w:eastAsia="zh-CN"/>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lang w:val="en-US" w:eastAsia="zh-CN"/>
              </w:rPr>
              <w:t>0</w:t>
            </w:r>
          </w:p>
        </w:tc>
        <w:tc>
          <w:tcPr>
            <w:tcW w:w="684"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51" w:type="dxa"/>
            <w:vMerge w:val="continue"/>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rPr>
                <w:color w:val="auto"/>
              </w:rPr>
            </w:pPr>
          </w:p>
        </w:tc>
        <w:tc>
          <w:tcPr>
            <w:tcW w:w="954" w:type="dxa"/>
            <w:vMerge w:val="restart"/>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left"/>
              <w:rPr>
                <w:rFonts w:hint="default" w:ascii="Times New Roman" w:hAnsi="Times New Roman" w:eastAsia="宋体" w:cs="Times New Roman"/>
                <w:color w:val="auto"/>
                <w:sz w:val="28"/>
                <w:lang w:bidi="ar-SA"/>
              </w:rPr>
            </w:pPr>
            <w:r>
              <w:rPr>
                <w:rFonts w:hint="default" w:ascii="Times New Roman" w:hAnsi="Times New Roman" w:eastAsia="宋体" w:cs="Times New Roman"/>
                <w:color w:val="auto"/>
                <w:kern w:val="0"/>
                <w:sz w:val="28"/>
                <w:szCs w:val="20"/>
                <w:lang w:bidi="ar-SA"/>
              </w:rPr>
              <w:t>（六）其他处理</w:t>
            </w:r>
          </w:p>
        </w:tc>
        <w:tc>
          <w:tcPr>
            <w:tcW w:w="3261"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rPr>
                <w:rFonts w:hint="default" w:ascii="Times New Roman" w:hAnsi="Times New Roman" w:eastAsia="宋体" w:cs="Times New Roman"/>
                <w:color w:val="auto"/>
                <w:sz w:val="28"/>
                <w:lang w:bidi="ar-SA"/>
              </w:rPr>
            </w:pPr>
            <w:r>
              <w:rPr>
                <w:rFonts w:hint="default" w:ascii="Times New Roman" w:hAnsi="Times New Roman" w:eastAsia="宋体" w:cs="Times New Roman"/>
                <w:color w:val="auto"/>
                <w:kern w:val="0"/>
                <w:sz w:val="28"/>
                <w:szCs w:val="20"/>
                <w:lang w:bidi="ar-SA"/>
              </w:rPr>
              <w:t>1.申请人无正当理由逾期不补正、行政机关不再处理其政府信息公开申请</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lang w:val="en-US" w:eastAsia="zh-CN"/>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lang w:val="en-US" w:eastAsia="zh-CN"/>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lang w:val="en-US" w:eastAsia="zh-CN"/>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lang w:val="en-US" w:eastAsia="zh-CN"/>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lang w:val="en-US" w:eastAsia="zh-CN"/>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lang w:val="en-US" w:eastAsia="zh-CN"/>
              </w:rPr>
              <w:t>0</w:t>
            </w:r>
          </w:p>
        </w:tc>
        <w:tc>
          <w:tcPr>
            <w:tcW w:w="684"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51" w:type="dxa"/>
            <w:vMerge w:val="continue"/>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rPr>
                <w:color w:val="auto"/>
              </w:rPr>
            </w:pPr>
          </w:p>
        </w:tc>
        <w:tc>
          <w:tcPr>
            <w:tcW w:w="954" w:type="dxa"/>
            <w:vMerge w:val="continue"/>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rPr>
                <w:color w:val="auto"/>
              </w:rPr>
            </w:pPr>
          </w:p>
        </w:tc>
        <w:tc>
          <w:tcPr>
            <w:tcW w:w="3261"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rPr>
                <w:rFonts w:hint="default" w:ascii="Times New Roman" w:hAnsi="Times New Roman" w:eastAsia="宋体" w:cs="Times New Roman"/>
                <w:color w:val="auto"/>
                <w:sz w:val="28"/>
                <w:lang w:bidi="ar-SA"/>
              </w:rPr>
            </w:pPr>
            <w:r>
              <w:rPr>
                <w:rFonts w:hint="default" w:ascii="Times New Roman" w:hAnsi="Times New Roman" w:eastAsia="宋体" w:cs="Times New Roman"/>
                <w:color w:val="auto"/>
                <w:kern w:val="0"/>
                <w:sz w:val="28"/>
                <w:szCs w:val="20"/>
                <w:lang w:bidi="ar-SA"/>
              </w:rPr>
              <w:t>2.申请人逾期未按收费通知要求缴纳费用、行政机关不再处理其政府信息公开申请</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lang w:val="en-US" w:eastAsia="zh-CN"/>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lang w:val="en-US" w:eastAsia="zh-CN"/>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lang w:val="en-US" w:eastAsia="zh-CN"/>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lang w:val="en-US" w:eastAsia="zh-CN"/>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lang w:val="en-US" w:eastAsia="zh-CN"/>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lang w:val="en-US" w:eastAsia="zh-CN"/>
              </w:rPr>
              <w:t>0</w:t>
            </w:r>
          </w:p>
        </w:tc>
        <w:tc>
          <w:tcPr>
            <w:tcW w:w="684"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51" w:type="dxa"/>
            <w:vMerge w:val="continue"/>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rPr>
                <w:color w:val="auto"/>
              </w:rPr>
            </w:pPr>
          </w:p>
        </w:tc>
        <w:tc>
          <w:tcPr>
            <w:tcW w:w="954" w:type="dxa"/>
            <w:vMerge w:val="continue"/>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rPr>
                <w:color w:val="auto"/>
              </w:rPr>
            </w:pPr>
          </w:p>
        </w:tc>
        <w:tc>
          <w:tcPr>
            <w:tcW w:w="3261"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left"/>
              <w:rPr>
                <w:rFonts w:hint="default" w:ascii="Times New Roman" w:hAnsi="Times New Roman" w:eastAsia="宋体" w:cs="Times New Roman"/>
                <w:color w:val="auto"/>
                <w:sz w:val="28"/>
                <w:lang w:bidi="ar-SA"/>
              </w:rPr>
            </w:pPr>
            <w:r>
              <w:rPr>
                <w:rFonts w:hint="default" w:ascii="Times New Roman" w:hAnsi="Times New Roman" w:eastAsia="宋体" w:cs="Times New Roman"/>
                <w:color w:val="auto"/>
                <w:kern w:val="0"/>
                <w:sz w:val="28"/>
                <w:szCs w:val="20"/>
                <w:lang w:bidi="ar-SA"/>
              </w:rPr>
              <w:t>3.其他</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sz w:val="24"/>
                <w:szCs w:val="24"/>
                <w:lang w:val="en-US" w:eastAsia="zh-CN"/>
              </w:rPr>
              <w:t>8</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lang w:val="en-US" w:eastAsia="zh-CN"/>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lang w:val="en-US" w:eastAsia="zh-CN"/>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lang w:val="en-US" w:eastAsia="zh-CN"/>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lang w:val="en-US" w:eastAsia="zh-CN"/>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sz w:val="24"/>
                <w:szCs w:val="24"/>
                <w:lang w:val="en-US" w:eastAsia="zh-CN"/>
              </w:rPr>
              <w:t>0</w:t>
            </w:r>
          </w:p>
        </w:tc>
        <w:tc>
          <w:tcPr>
            <w:tcW w:w="684"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sz w:val="24"/>
                <w:szCs w:val="24"/>
                <w:lang w:val="en-US" w:eastAsia="zh-CN"/>
              </w:rPr>
              <w:t>8</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51" w:type="dxa"/>
            <w:vMerge w:val="continue"/>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rPr>
                <w:color w:val="auto"/>
              </w:rPr>
            </w:pPr>
          </w:p>
        </w:tc>
        <w:tc>
          <w:tcPr>
            <w:tcW w:w="4215" w:type="dxa"/>
            <w:gridSpan w:val="2"/>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left"/>
              <w:rPr>
                <w:rFonts w:hint="default" w:ascii="Times New Roman" w:hAnsi="Times New Roman" w:eastAsia="宋体" w:cs="Times New Roman"/>
                <w:color w:val="auto"/>
                <w:sz w:val="28"/>
                <w:lang w:bidi="ar-SA"/>
              </w:rPr>
            </w:pPr>
            <w:r>
              <w:rPr>
                <w:rFonts w:hint="default" w:ascii="Times New Roman" w:hAnsi="Times New Roman" w:eastAsia="宋体" w:cs="Times New Roman"/>
                <w:color w:val="auto"/>
                <w:kern w:val="0"/>
                <w:sz w:val="28"/>
                <w:szCs w:val="20"/>
                <w:lang w:bidi="ar-SA"/>
              </w:rPr>
              <w:t>（七）总计</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2"/>
                <w:sz w:val="24"/>
                <w:szCs w:val="24"/>
                <w:lang w:val="en-US" w:eastAsia="zh-CN" w:bidi="ar-SA"/>
              </w:rPr>
              <w:t>27</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lang w:val="en-US" w:eastAsia="zh-CN"/>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lang w:val="en-US" w:eastAsia="zh-CN"/>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lang w:val="en-US" w:eastAsia="zh-CN"/>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lang w:val="en-US" w:eastAsia="zh-CN"/>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lang w:val="en-US" w:eastAsia="zh-CN"/>
              </w:rPr>
              <w:t>1</w:t>
            </w:r>
          </w:p>
        </w:tc>
        <w:tc>
          <w:tcPr>
            <w:tcW w:w="684"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2</w:t>
            </w:r>
            <w:r>
              <w:rPr>
                <w:rFonts w:hint="eastAsia" w:ascii="Times New Roman" w:hAnsi="Times New Roman" w:eastAsia="仿宋_GB2312" w:cs="Times New Roman"/>
                <w:color w:val="auto"/>
                <w:kern w:val="2"/>
                <w:sz w:val="24"/>
                <w:szCs w:val="24"/>
                <w:lang w:val="en-US" w:eastAsia="zh-CN" w:bidi="ar-SA"/>
              </w:rPr>
              <w:t>8</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4966" w:type="dxa"/>
            <w:gridSpan w:val="3"/>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left"/>
              <w:rPr>
                <w:rFonts w:hint="default" w:ascii="Times New Roman" w:hAnsi="Times New Roman" w:eastAsia="宋体" w:cs="Times New Roman"/>
                <w:color w:val="auto"/>
                <w:sz w:val="28"/>
                <w:lang w:bidi="ar-SA"/>
              </w:rPr>
            </w:pPr>
            <w:r>
              <w:rPr>
                <w:rFonts w:hint="default" w:ascii="Times New Roman" w:hAnsi="Times New Roman" w:eastAsia="宋体" w:cs="Times New Roman"/>
                <w:color w:val="auto"/>
                <w:kern w:val="0"/>
                <w:sz w:val="28"/>
                <w:szCs w:val="20"/>
                <w:lang w:bidi="ar-SA"/>
              </w:rPr>
              <w:t>四、结转下年度继续办理</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lang w:val="en-US" w:eastAsia="zh-CN"/>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lang w:val="en-US" w:eastAsia="zh-CN"/>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lang w:val="en-US" w:eastAsia="zh-CN"/>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lang w:val="en-US" w:eastAsia="zh-CN"/>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lang w:val="en-US" w:eastAsia="zh-CN"/>
              </w:rPr>
              <w:t>0</w:t>
            </w:r>
          </w:p>
        </w:tc>
        <w:tc>
          <w:tcPr>
            <w:tcW w:w="684"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0</w:t>
            </w:r>
          </w:p>
        </w:tc>
      </w:tr>
    </w:tbl>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宋体" w:cs="Times New Roman"/>
          <w:color w:val="auto"/>
          <w:sz w:val="19"/>
          <w:szCs w:val="19"/>
          <w:lang w:bidi="ar-SA"/>
        </w:rPr>
      </w:pPr>
      <w:r>
        <w:rPr>
          <w:rFonts w:hint="default" w:ascii="Times New Roman" w:hAnsi="Times New Roman" w:eastAsia="黑体" w:cs="Times New Roman"/>
          <w:color w:val="auto"/>
          <w:sz w:val="32"/>
          <w:szCs w:val="19"/>
          <w:shd w:val="clear" w:color="auto" w:fill="FFFFFF"/>
          <w:lang w:bidi="ar-SA"/>
        </w:rPr>
        <w:t>四、政府信息公开行政复议、行政诉讼情况</w:t>
      </w:r>
    </w:p>
    <w:tbl>
      <w:tblPr>
        <w:tblStyle w:val="7"/>
        <w:tblW w:w="9748" w:type="dxa"/>
        <w:jc w:val="center"/>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autofit"/>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3245" w:type="dxa"/>
            <w:gridSpan w:val="5"/>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default" w:ascii="Times New Roman" w:hAnsi="Times New Roman" w:eastAsia="宋体" w:cs="Times New Roman"/>
                <w:color w:val="auto"/>
                <w:sz w:val="24"/>
                <w:lang w:bidi="ar-SA"/>
              </w:rPr>
            </w:pPr>
            <w:r>
              <w:rPr>
                <w:rFonts w:hint="default" w:ascii="Times New Roman" w:hAnsi="Times New Roman" w:eastAsia="宋体" w:cs="Times New Roman"/>
                <w:color w:val="auto"/>
                <w:kern w:val="0"/>
                <w:sz w:val="24"/>
                <w:szCs w:val="20"/>
                <w:lang w:bidi="ar-SA"/>
              </w:rPr>
              <w:t>行政复议</w:t>
            </w:r>
          </w:p>
        </w:tc>
        <w:tc>
          <w:tcPr>
            <w:tcW w:w="6503" w:type="dxa"/>
            <w:gridSpan w:val="10"/>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default" w:ascii="Times New Roman" w:hAnsi="Times New Roman" w:eastAsia="宋体" w:cs="Times New Roman"/>
                <w:color w:val="auto"/>
                <w:sz w:val="24"/>
                <w:lang w:bidi="ar-SA"/>
              </w:rPr>
            </w:pPr>
            <w:r>
              <w:rPr>
                <w:rFonts w:hint="default" w:ascii="Times New Roman" w:hAnsi="Times New Roman" w:eastAsia="宋体" w:cs="Times New Roman"/>
                <w:color w:val="auto"/>
                <w:kern w:val="0"/>
                <w:sz w:val="24"/>
                <w:szCs w:val="20"/>
                <w:lang w:bidi="ar-SA"/>
              </w:rPr>
              <w:t>行政诉讼</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649" w:type="dxa"/>
            <w:vMerge w:val="restart"/>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default" w:ascii="Times New Roman" w:hAnsi="Times New Roman" w:eastAsia="宋体" w:cs="Times New Roman"/>
                <w:color w:val="auto"/>
                <w:sz w:val="24"/>
                <w:lang w:bidi="ar-SA"/>
              </w:rPr>
            </w:pPr>
            <w:r>
              <w:rPr>
                <w:rFonts w:hint="default" w:ascii="Times New Roman" w:hAnsi="Times New Roman" w:eastAsia="宋体" w:cs="Times New Roman"/>
                <w:color w:val="auto"/>
                <w:kern w:val="0"/>
                <w:sz w:val="24"/>
                <w:szCs w:val="20"/>
                <w:lang w:bidi="ar-SA"/>
              </w:rPr>
              <w:t>结果维持</w:t>
            </w:r>
          </w:p>
        </w:tc>
        <w:tc>
          <w:tcPr>
            <w:tcW w:w="649" w:type="dxa"/>
            <w:vMerge w:val="restart"/>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eastAsia" w:ascii="Times New Roman" w:hAnsi="Times New Roman" w:eastAsia="宋体" w:cs="Times New Roman"/>
                <w:color w:val="auto"/>
                <w:kern w:val="0"/>
                <w:sz w:val="24"/>
                <w:szCs w:val="20"/>
                <w:lang w:eastAsia="zh-CN" w:bidi="ar-SA"/>
              </w:rPr>
            </w:pPr>
            <w:r>
              <w:rPr>
                <w:rFonts w:hint="default" w:ascii="Times New Roman" w:hAnsi="Times New Roman" w:eastAsia="宋体" w:cs="Times New Roman"/>
                <w:color w:val="auto"/>
                <w:kern w:val="0"/>
                <w:sz w:val="24"/>
                <w:szCs w:val="20"/>
                <w:lang w:bidi="ar-SA"/>
              </w:rPr>
              <w:t>结果</w:t>
            </w:r>
          </w:p>
          <w:p>
            <w:pPr>
              <w:widowControl/>
              <w:jc w:val="center"/>
              <w:rPr>
                <w:rFonts w:hint="default" w:ascii="Times New Roman" w:hAnsi="Times New Roman" w:eastAsia="宋体" w:cs="Times New Roman"/>
                <w:color w:val="auto"/>
                <w:sz w:val="24"/>
                <w:lang w:bidi="ar-SA"/>
              </w:rPr>
            </w:pPr>
            <w:r>
              <w:rPr>
                <w:rFonts w:hint="default" w:ascii="Times New Roman" w:hAnsi="Times New Roman" w:eastAsia="宋体" w:cs="Times New Roman"/>
                <w:color w:val="auto"/>
                <w:kern w:val="0"/>
                <w:sz w:val="24"/>
                <w:szCs w:val="20"/>
                <w:lang w:bidi="ar-SA"/>
              </w:rPr>
              <w:t>纠正</w:t>
            </w:r>
          </w:p>
        </w:tc>
        <w:tc>
          <w:tcPr>
            <w:tcW w:w="649" w:type="dxa"/>
            <w:vMerge w:val="restart"/>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eastAsia" w:ascii="Times New Roman" w:hAnsi="Times New Roman" w:eastAsia="宋体" w:cs="Times New Roman"/>
                <w:color w:val="auto"/>
                <w:kern w:val="0"/>
                <w:sz w:val="24"/>
                <w:szCs w:val="20"/>
                <w:lang w:eastAsia="zh-CN" w:bidi="ar-SA"/>
              </w:rPr>
            </w:pPr>
            <w:r>
              <w:rPr>
                <w:rFonts w:hint="default" w:ascii="Times New Roman" w:hAnsi="Times New Roman" w:eastAsia="宋体" w:cs="Times New Roman"/>
                <w:color w:val="auto"/>
                <w:kern w:val="0"/>
                <w:sz w:val="24"/>
                <w:szCs w:val="20"/>
                <w:lang w:bidi="ar-SA"/>
              </w:rPr>
              <w:t>其他</w:t>
            </w:r>
          </w:p>
          <w:p>
            <w:pPr>
              <w:widowControl/>
              <w:jc w:val="center"/>
              <w:rPr>
                <w:rFonts w:hint="default" w:ascii="Times New Roman" w:hAnsi="Times New Roman" w:eastAsia="宋体" w:cs="Times New Roman"/>
                <w:color w:val="auto"/>
                <w:sz w:val="24"/>
                <w:lang w:bidi="ar-SA"/>
              </w:rPr>
            </w:pPr>
            <w:r>
              <w:rPr>
                <w:rFonts w:hint="default" w:ascii="Times New Roman" w:hAnsi="Times New Roman" w:eastAsia="宋体" w:cs="Times New Roman"/>
                <w:color w:val="auto"/>
                <w:kern w:val="0"/>
                <w:sz w:val="24"/>
                <w:szCs w:val="20"/>
                <w:lang w:bidi="ar-SA"/>
              </w:rPr>
              <w:t>结果</w:t>
            </w:r>
          </w:p>
        </w:tc>
        <w:tc>
          <w:tcPr>
            <w:tcW w:w="649" w:type="dxa"/>
            <w:vMerge w:val="restart"/>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eastAsia" w:ascii="Times New Roman" w:hAnsi="Times New Roman" w:eastAsia="宋体" w:cs="Times New Roman"/>
                <w:color w:val="auto"/>
                <w:kern w:val="0"/>
                <w:sz w:val="24"/>
                <w:szCs w:val="20"/>
                <w:lang w:eastAsia="zh-CN" w:bidi="ar-SA"/>
              </w:rPr>
            </w:pPr>
            <w:r>
              <w:rPr>
                <w:rFonts w:hint="default" w:ascii="Times New Roman" w:hAnsi="Times New Roman" w:eastAsia="宋体" w:cs="Times New Roman"/>
                <w:color w:val="auto"/>
                <w:kern w:val="0"/>
                <w:sz w:val="24"/>
                <w:szCs w:val="20"/>
                <w:lang w:bidi="ar-SA"/>
              </w:rPr>
              <w:t>尚未</w:t>
            </w:r>
          </w:p>
          <w:p>
            <w:pPr>
              <w:widowControl/>
              <w:jc w:val="center"/>
              <w:rPr>
                <w:rFonts w:hint="default" w:ascii="Times New Roman" w:hAnsi="Times New Roman" w:eastAsia="宋体" w:cs="Times New Roman"/>
                <w:color w:val="auto"/>
                <w:sz w:val="24"/>
                <w:lang w:bidi="ar-SA"/>
              </w:rPr>
            </w:pPr>
            <w:r>
              <w:rPr>
                <w:rFonts w:hint="default" w:ascii="Times New Roman" w:hAnsi="Times New Roman" w:eastAsia="宋体" w:cs="Times New Roman"/>
                <w:color w:val="auto"/>
                <w:kern w:val="0"/>
                <w:sz w:val="24"/>
                <w:szCs w:val="20"/>
                <w:lang w:bidi="ar-SA"/>
              </w:rPr>
              <w:t>审结</w:t>
            </w:r>
          </w:p>
        </w:tc>
        <w:tc>
          <w:tcPr>
            <w:tcW w:w="649" w:type="dxa"/>
            <w:vMerge w:val="restart"/>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default" w:ascii="Times New Roman" w:hAnsi="Times New Roman" w:eastAsia="宋体" w:cs="Times New Roman"/>
                <w:color w:val="auto"/>
                <w:sz w:val="24"/>
                <w:lang w:bidi="ar-SA"/>
              </w:rPr>
            </w:pPr>
            <w:r>
              <w:rPr>
                <w:rFonts w:hint="default" w:ascii="Times New Roman" w:hAnsi="Times New Roman" w:eastAsia="宋体" w:cs="Times New Roman"/>
                <w:color w:val="auto"/>
                <w:kern w:val="0"/>
                <w:sz w:val="24"/>
                <w:szCs w:val="20"/>
                <w:lang w:bidi="ar-SA"/>
              </w:rPr>
              <w:t>总计</w:t>
            </w:r>
          </w:p>
        </w:tc>
        <w:tc>
          <w:tcPr>
            <w:tcW w:w="3248" w:type="dxa"/>
            <w:gridSpan w:val="5"/>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default" w:ascii="Times New Roman" w:hAnsi="Times New Roman" w:eastAsia="宋体" w:cs="Times New Roman"/>
                <w:color w:val="auto"/>
                <w:sz w:val="24"/>
                <w:lang w:bidi="ar-SA"/>
              </w:rPr>
            </w:pPr>
            <w:r>
              <w:rPr>
                <w:rFonts w:hint="default" w:ascii="Times New Roman" w:hAnsi="Times New Roman" w:eastAsia="宋体" w:cs="Times New Roman"/>
                <w:color w:val="auto"/>
                <w:kern w:val="0"/>
                <w:sz w:val="24"/>
                <w:szCs w:val="20"/>
                <w:lang w:bidi="ar-SA"/>
              </w:rPr>
              <w:t>未经复议直接起诉</w:t>
            </w:r>
          </w:p>
        </w:tc>
        <w:tc>
          <w:tcPr>
            <w:tcW w:w="3255" w:type="dxa"/>
            <w:gridSpan w:val="5"/>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default" w:ascii="Times New Roman" w:hAnsi="Times New Roman" w:eastAsia="宋体" w:cs="Times New Roman"/>
                <w:color w:val="auto"/>
                <w:sz w:val="24"/>
                <w:lang w:bidi="ar-SA"/>
              </w:rPr>
            </w:pPr>
            <w:r>
              <w:rPr>
                <w:rFonts w:hint="default" w:ascii="Times New Roman" w:hAnsi="Times New Roman" w:eastAsia="宋体" w:cs="Times New Roman"/>
                <w:color w:val="auto"/>
                <w:kern w:val="0"/>
                <w:sz w:val="24"/>
                <w:szCs w:val="20"/>
                <w:lang w:bidi="ar-SA"/>
              </w:rPr>
              <w:t>复议后起诉</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649"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color w:val="auto"/>
              </w:rPr>
            </w:pPr>
          </w:p>
        </w:tc>
        <w:tc>
          <w:tcPr>
            <w:tcW w:w="649"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color w:val="auto"/>
              </w:rPr>
            </w:pPr>
          </w:p>
        </w:tc>
        <w:tc>
          <w:tcPr>
            <w:tcW w:w="649"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rPr>
                <w:color w:val="auto"/>
              </w:rPr>
            </w:pPr>
          </w:p>
        </w:tc>
        <w:tc>
          <w:tcPr>
            <w:tcW w:w="649"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rPr>
                <w:color w:val="auto"/>
              </w:rPr>
            </w:pPr>
          </w:p>
        </w:tc>
        <w:tc>
          <w:tcPr>
            <w:tcW w:w="649"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rPr>
                <w:color w:val="auto"/>
              </w:rPr>
            </w:pP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eastAsia" w:ascii="Times New Roman" w:hAnsi="Times New Roman" w:eastAsia="宋体" w:cs="Times New Roman"/>
                <w:color w:val="auto"/>
                <w:kern w:val="0"/>
                <w:sz w:val="24"/>
                <w:szCs w:val="20"/>
                <w:lang w:eastAsia="zh-CN" w:bidi="ar-SA"/>
              </w:rPr>
            </w:pPr>
            <w:r>
              <w:rPr>
                <w:rFonts w:hint="default" w:ascii="Times New Roman" w:hAnsi="Times New Roman" w:eastAsia="宋体" w:cs="Times New Roman"/>
                <w:color w:val="auto"/>
                <w:kern w:val="0"/>
                <w:sz w:val="24"/>
                <w:szCs w:val="20"/>
                <w:lang w:bidi="ar-SA"/>
              </w:rPr>
              <w:t>结果</w:t>
            </w:r>
          </w:p>
          <w:p>
            <w:pPr>
              <w:widowControl/>
              <w:jc w:val="center"/>
              <w:rPr>
                <w:rFonts w:hint="default" w:ascii="Times New Roman" w:hAnsi="Times New Roman" w:eastAsia="宋体" w:cs="Times New Roman"/>
                <w:color w:val="auto"/>
                <w:sz w:val="24"/>
                <w:lang w:bidi="ar-SA"/>
              </w:rPr>
            </w:pPr>
            <w:r>
              <w:rPr>
                <w:rFonts w:hint="default" w:ascii="Times New Roman" w:hAnsi="Times New Roman" w:eastAsia="宋体" w:cs="Times New Roman"/>
                <w:color w:val="auto"/>
                <w:kern w:val="0"/>
                <w:sz w:val="24"/>
                <w:szCs w:val="20"/>
                <w:lang w:bidi="ar-SA"/>
              </w:rPr>
              <w:t>维持</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eastAsia" w:ascii="Times New Roman" w:hAnsi="Times New Roman" w:eastAsia="宋体" w:cs="Times New Roman"/>
                <w:color w:val="auto"/>
                <w:kern w:val="0"/>
                <w:sz w:val="24"/>
                <w:szCs w:val="20"/>
                <w:lang w:eastAsia="zh-CN" w:bidi="ar-SA"/>
              </w:rPr>
            </w:pPr>
            <w:r>
              <w:rPr>
                <w:rFonts w:hint="default" w:ascii="Times New Roman" w:hAnsi="Times New Roman" w:eastAsia="宋体" w:cs="Times New Roman"/>
                <w:color w:val="auto"/>
                <w:kern w:val="0"/>
                <w:sz w:val="24"/>
                <w:szCs w:val="20"/>
                <w:lang w:bidi="ar-SA"/>
              </w:rPr>
              <w:t>结果</w:t>
            </w:r>
          </w:p>
          <w:p>
            <w:pPr>
              <w:widowControl/>
              <w:jc w:val="center"/>
              <w:rPr>
                <w:rFonts w:hint="default" w:ascii="Times New Roman" w:hAnsi="Times New Roman" w:eastAsia="宋体" w:cs="Times New Roman"/>
                <w:color w:val="auto"/>
                <w:sz w:val="24"/>
                <w:lang w:bidi="ar-SA"/>
              </w:rPr>
            </w:pPr>
            <w:r>
              <w:rPr>
                <w:rFonts w:hint="default" w:ascii="Times New Roman" w:hAnsi="Times New Roman" w:eastAsia="宋体" w:cs="Times New Roman"/>
                <w:color w:val="auto"/>
                <w:kern w:val="0"/>
                <w:sz w:val="24"/>
                <w:szCs w:val="20"/>
                <w:lang w:bidi="ar-SA"/>
              </w:rPr>
              <w:t>纠正</w:t>
            </w:r>
          </w:p>
        </w:tc>
        <w:tc>
          <w:tcPr>
            <w:tcW w:w="65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eastAsia" w:ascii="Times New Roman" w:hAnsi="Times New Roman" w:eastAsia="宋体" w:cs="Times New Roman"/>
                <w:color w:val="auto"/>
                <w:kern w:val="0"/>
                <w:sz w:val="24"/>
                <w:szCs w:val="20"/>
                <w:lang w:eastAsia="zh-CN" w:bidi="ar-SA"/>
              </w:rPr>
            </w:pPr>
            <w:r>
              <w:rPr>
                <w:rFonts w:hint="default" w:ascii="Times New Roman" w:hAnsi="Times New Roman" w:eastAsia="宋体" w:cs="Times New Roman"/>
                <w:color w:val="auto"/>
                <w:kern w:val="0"/>
                <w:sz w:val="24"/>
                <w:szCs w:val="20"/>
                <w:lang w:bidi="ar-SA"/>
              </w:rPr>
              <w:t>其他</w:t>
            </w:r>
          </w:p>
          <w:p>
            <w:pPr>
              <w:widowControl/>
              <w:jc w:val="center"/>
              <w:rPr>
                <w:rFonts w:hint="default" w:ascii="Times New Roman" w:hAnsi="Times New Roman" w:eastAsia="宋体" w:cs="Times New Roman"/>
                <w:color w:val="auto"/>
                <w:sz w:val="24"/>
                <w:lang w:bidi="ar-SA"/>
              </w:rPr>
            </w:pPr>
            <w:r>
              <w:rPr>
                <w:rFonts w:hint="default" w:ascii="Times New Roman" w:hAnsi="Times New Roman" w:eastAsia="宋体" w:cs="Times New Roman"/>
                <w:color w:val="auto"/>
                <w:kern w:val="0"/>
                <w:sz w:val="24"/>
                <w:szCs w:val="20"/>
                <w:lang w:bidi="ar-SA"/>
              </w:rPr>
              <w:t>结果</w:t>
            </w:r>
          </w:p>
        </w:tc>
        <w:tc>
          <w:tcPr>
            <w:tcW w:w="65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eastAsia" w:ascii="Times New Roman" w:hAnsi="Times New Roman" w:eastAsia="宋体" w:cs="Times New Roman"/>
                <w:color w:val="auto"/>
                <w:kern w:val="0"/>
                <w:sz w:val="24"/>
                <w:szCs w:val="20"/>
                <w:lang w:eastAsia="zh-CN" w:bidi="ar-SA"/>
              </w:rPr>
            </w:pPr>
            <w:r>
              <w:rPr>
                <w:rFonts w:hint="default" w:ascii="Times New Roman" w:hAnsi="Times New Roman" w:eastAsia="宋体" w:cs="Times New Roman"/>
                <w:color w:val="auto"/>
                <w:kern w:val="0"/>
                <w:sz w:val="24"/>
                <w:szCs w:val="20"/>
                <w:lang w:bidi="ar-SA"/>
              </w:rPr>
              <w:t>尚未</w:t>
            </w:r>
          </w:p>
          <w:p>
            <w:pPr>
              <w:widowControl/>
              <w:jc w:val="center"/>
              <w:rPr>
                <w:rFonts w:hint="default" w:ascii="Times New Roman" w:hAnsi="Times New Roman" w:eastAsia="宋体" w:cs="Times New Roman"/>
                <w:color w:val="auto"/>
                <w:sz w:val="24"/>
                <w:lang w:bidi="ar-SA"/>
              </w:rPr>
            </w:pPr>
            <w:r>
              <w:rPr>
                <w:rFonts w:hint="default" w:ascii="Times New Roman" w:hAnsi="Times New Roman" w:eastAsia="宋体" w:cs="Times New Roman"/>
                <w:color w:val="auto"/>
                <w:kern w:val="0"/>
                <w:sz w:val="24"/>
                <w:szCs w:val="20"/>
                <w:lang w:bidi="ar-SA"/>
              </w:rPr>
              <w:t>审结</w:t>
            </w:r>
          </w:p>
        </w:tc>
        <w:tc>
          <w:tcPr>
            <w:tcW w:w="65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default" w:ascii="Times New Roman" w:hAnsi="Times New Roman" w:eastAsia="宋体" w:cs="Times New Roman"/>
                <w:color w:val="auto"/>
                <w:sz w:val="24"/>
                <w:lang w:bidi="ar-SA"/>
              </w:rPr>
            </w:pPr>
            <w:r>
              <w:rPr>
                <w:rFonts w:hint="default" w:ascii="Times New Roman" w:hAnsi="Times New Roman" w:eastAsia="宋体" w:cs="Times New Roman"/>
                <w:color w:val="auto"/>
                <w:kern w:val="0"/>
                <w:sz w:val="24"/>
                <w:szCs w:val="20"/>
                <w:lang w:bidi="ar-SA"/>
              </w:rPr>
              <w:t>总计</w:t>
            </w:r>
          </w:p>
        </w:tc>
        <w:tc>
          <w:tcPr>
            <w:tcW w:w="651"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eastAsia" w:ascii="Times New Roman" w:hAnsi="Times New Roman" w:eastAsia="宋体" w:cs="Times New Roman"/>
                <w:color w:val="auto"/>
                <w:kern w:val="0"/>
                <w:sz w:val="24"/>
                <w:szCs w:val="20"/>
                <w:lang w:eastAsia="zh-CN" w:bidi="ar-SA"/>
              </w:rPr>
            </w:pPr>
            <w:r>
              <w:rPr>
                <w:rFonts w:hint="default" w:ascii="Times New Roman" w:hAnsi="Times New Roman" w:eastAsia="宋体" w:cs="Times New Roman"/>
                <w:color w:val="auto"/>
                <w:kern w:val="0"/>
                <w:sz w:val="24"/>
                <w:szCs w:val="20"/>
                <w:lang w:bidi="ar-SA"/>
              </w:rPr>
              <w:t>结果</w:t>
            </w:r>
          </w:p>
          <w:p>
            <w:pPr>
              <w:widowControl/>
              <w:jc w:val="center"/>
              <w:rPr>
                <w:rFonts w:hint="default" w:ascii="Times New Roman" w:hAnsi="Times New Roman" w:eastAsia="宋体" w:cs="Times New Roman"/>
                <w:color w:val="auto"/>
                <w:sz w:val="24"/>
                <w:lang w:bidi="ar-SA"/>
              </w:rPr>
            </w:pPr>
            <w:r>
              <w:rPr>
                <w:rFonts w:hint="default" w:ascii="Times New Roman" w:hAnsi="Times New Roman" w:eastAsia="宋体" w:cs="Times New Roman"/>
                <w:color w:val="auto"/>
                <w:kern w:val="0"/>
                <w:sz w:val="24"/>
                <w:szCs w:val="20"/>
                <w:lang w:bidi="ar-SA"/>
              </w:rPr>
              <w:t>维持</w:t>
            </w:r>
          </w:p>
        </w:tc>
        <w:tc>
          <w:tcPr>
            <w:tcW w:w="651"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eastAsia" w:ascii="Times New Roman" w:hAnsi="Times New Roman" w:eastAsia="宋体" w:cs="Times New Roman"/>
                <w:color w:val="auto"/>
                <w:kern w:val="0"/>
                <w:sz w:val="24"/>
                <w:szCs w:val="20"/>
                <w:lang w:eastAsia="zh-CN" w:bidi="ar-SA"/>
              </w:rPr>
            </w:pPr>
            <w:r>
              <w:rPr>
                <w:rFonts w:hint="default" w:ascii="Times New Roman" w:hAnsi="Times New Roman" w:eastAsia="宋体" w:cs="Times New Roman"/>
                <w:color w:val="auto"/>
                <w:kern w:val="0"/>
                <w:sz w:val="24"/>
                <w:szCs w:val="20"/>
                <w:lang w:bidi="ar-SA"/>
              </w:rPr>
              <w:t>结果</w:t>
            </w:r>
          </w:p>
          <w:p>
            <w:pPr>
              <w:widowControl/>
              <w:jc w:val="center"/>
              <w:rPr>
                <w:rFonts w:hint="default" w:ascii="Times New Roman" w:hAnsi="Times New Roman" w:eastAsia="宋体" w:cs="Times New Roman"/>
                <w:color w:val="auto"/>
                <w:sz w:val="24"/>
                <w:lang w:bidi="ar-SA"/>
              </w:rPr>
            </w:pPr>
            <w:r>
              <w:rPr>
                <w:rFonts w:hint="default" w:ascii="Times New Roman" w:hAnsi="Times New Roman" w:eastAsia="宋体" w:cs="Times New Roman"/>
                <w:color w:val="auto"/>
                <w:kern w:val="0"/>
                <w:sz w:val="24"/>
                <w:szCs w:val="20"/>
                <w:lang w:bidi="ar-SA"/>
              </w:rPr>
              <w:t>纠正</w:t>
            </w:r>
          </w:p>
        </w:tc>
        <w:tc>
          <w:tcPr>
            <w:tcW w:w="651"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eastAsia" w:ascii="Times New Roman" w:hAnsi="Times New Roman" w:eastAsia="宋体" w:cs="Times New Roman"/>
                <w:color w:val="auto"/>
                <w:kern w:val="0"/>
                <w:sz w:val="24"/>
                <w:szCs w:val="20"/>
                <w:lang w:eastAsia="zh-CN" w:bidi="ar-SA"/>
              </w:rPr>
            </w:pPr>
            <w:r>
              <w:rPr>
                <w:rFonts w:hint="default" w:ascii="Times New Roman" w:hAnsi="Times New Roman" w:eastAsia="宋体" w:cs="Times New Roman"/>
                <w:color w:val="auto"/>
                <w:kern w:val="0"/>
                <w:sz w:val="24"/>
                <w:szCs w:val="20"/>
                <w:lang w:bidi="ar-SA"/>
              </w:rPr>
              <w:t>其他</w:t>
            </w:r>
          </w:p>
          <w:p>
            <w:pPr>
              <w:widowControl/>
              <w:jc w:val="center"/>
              <w:rPr>
                <w:rFonts w:hint="default" w:ascii="Times New Roman" w:hAnsi="Times New Roman" w:eastAsia="宋体" w:cs="Times New Roman"/>
                <w:color w:val="auto"/>
                <w:sz w:val="24"/>
                <w:lang w:bidi="ar-SA"/>
              </w:rPr>
            </w:pPr>
            <w:r>
              <w:rPr>
                <w:rFonts w:hint="default" w:ascii="Times New Roman" w:hAnsi="Times New Roman" w:eastAsia="宋体" w:cs="Times New Roman"/>
                <w:color w:val="auto"/>
                <w:kern w:val="0"/>
                <w:sz w:val="24"/>
                <w:szCs w:val="20"/>
                <w:lang w:bidi="ar-SA"/>
              </w:rPr>
              <w:t>结果</w:t>
            </w:r>
          </w:p>
        </w:tc>
        <w:tc>
          <w:tcPr>
            <w:tcW w:w="651"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eastAsia" w:ascii="Times New Roman" w:hAnsi="Times New Roman" w:eastAsia="宋体" w:cs="Times New Roman"/>
                <w:color w:val="auto"/>
                <w:kern w:val="0"/>
                <w:sz w:val="24"/>
                <w:szCs w:val="20"/>
                <w:lang w:eastAsia="zh-CN" w:bidi="ar-SA"/>
              </w:rPr>
            </w:pPr>
            <w:r>
              <w:rPr>
                <w:rFonts w:hint="default" w:ascii="Times New Roman" w:hAnsi="Times New Roman" w:eastAsia="宋体" w:cs="Times New Roman"/>
                <w:color w:val="auto"/>
                <w:kern w:val="0"/>
                <w:sz w:val="24"/>
                <w:szCs w:val="20"/>
                <w:lang w:bidi="ar-SA"/>
              </w:rPr>
              <w:t>尚未</w:t>
            </w:r>
          </w:p>
          <w:p>
            <w:pPr>
              <w:widowControl/>
              <w:jc w:val="center"/>
              <w:rPr>
                <w:rFonts w:hint="default" w:ascii="Times New Roman" w:hAnsi="Times New Roman" w:eastAsia="宋体" w:cs="Times New Roman"/>
                <w:color w:val="auto"/>
                <w:sz w:val="24"/>
                <w:lang w:bidi="ar-SA"/>
              </w:rPr>
            </w:pPr>
            <w:r>
              <w:rPr>
                <w:rFonts w:hint="default" w:ascii="Times New Roman" w:hAnsi="Times New Roman" w:eastAsia="宋体" w:cs="Times New Roman"/>
                <w:color w:val="auto"/>
                <w:kern w:val="0"/>
                <w:sz w:val="24"/>
                <w:szCs w:val="20"/>
                <w:lang w:bidi="ar-SA"/>
              </w:rPr>
              <w:t>审结</w:t>
            </w:r>
          </w:p>
        </w:tc>
        <w:tc>
          <w:tcPr>
            <w:tcW w:w="651"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default" w:ascii="Times New Roman" w:hAnsi="Times New Roman" w:eastAsia="宋体" w:cs="Times New Roman"/>
                <w:color w:val="auto"/>
                <w:sz w:val="24"/>
                <w:lang w:bidi="ar-SA"/>
              </w:rPr>
            </w:pPr>
            <w:r>
              <w:rPr>
                <w:rFonts w:hint="default" w:ascii="Times New Roman" w:hAnsi="Times New Roman" w:eastAsia="宋体" w:cs="Times New Roman"/>
                <w:color w:val="auto"/>
                <w:kern w:val="0"/>
                <w:sz w:val="24"/>
                <w:szCs w:val="20"/>
                <w:lang w:bidi="ar-SA"/>
              </w:rPr>
              <w:t>总计</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672" w:hRule="atLeast"/>
          <w:jc w:val="center"/>
        </w:trPr>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default" w:ascii="Times New Roman" w:hAnsi="Times New Roman" w:eastAsia="宋体" w:cs="Times New Roman"/>
                <w:color w:val="auto"/>
                <w:kern w:val="2"/>
                <w:sz w:val="24"/>
                <w:szCs w:val="24"/>
                <w:lang w:val="en-US" w:eastAsia="zh-CN" w:bidi="ar-SA"/>
              </w:rPr>
            </w:pPr>
            <w:r>
              <w:rPr>
                <w:rFonts w:hint="eastAsia" w:ascii="Times New Roman" w:hAnsi="Times New Roman" w:eastAsia="宋体" w:cs="Times New Roman"/>
                <w:color w:val="auto"/>
                <w:sz w:val="24"/>
                <w:lang w:val="en-US" w:eastAsia="zh-CN"/>
              </w:rPr>
              <w:t>1</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default" w:ascii="Times New Roman" w:hAnsi="Times New Roman" w:eastAsia="宋体" w:cs="Times New Roman"/>
                <w:color w:val="auto"/>
                <w:kern w:val="2"/>
                <w:sz w:val="24"/>
                <w:szCs w:val="24"/>
                <w:lang w:val="en-US" w:eastAsia="zh-CN" w:bidi="ar-SA"/>
              </w:rPr>
            </w:pPr>
            <w:r>
              <w:rPr>
                <w:rFonts w:hint="eastAsia" w:ascii="Times New Roman" w:hAnsi="Times New Roman" w:eastAsia="宋体" w:cs="Times New Roman"/>
                <w:color w:val="auto"/>
                <w:sz w:val="24"/>
                <w:lang w:val="en-US" w:eastAsia="zh-CN"/>
              </w:rPr>
              <w:t>0</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default" w:ascii="Times New Roman" w:hAnsi="Times New Roman" w:eastAsia="宋体" w:cs="Times New Roman"/>
                <w:color w:val="auto"/>
                <w:kern w:val="2"/>
                <w:sz w:val="24"/>
                <w:szCs w:val="24"/>
                <w:lang w:val="en-US" w:eastAsia="zh-CN" w:bidi="ar-SA"/>
              </w:rPr>
            </w:pPr>
            <w:r>
              <w:rPr>
                <w:rFonts w:hint="eastAsia" w:ascii="Times New Roman" w:hAnsi="Times New Roman" w:eastAsia="宋体" w:cs="Times New Roman"/>
                <w:color w:val="auto"/>
                <w:sz w:val="24"/>
                <w:lang w:val="en-US" w:eastAsia="zh-CN"/>
              </w:rPr>
              <w:t>0</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default" w:ascii="Times New Roman" w:hAnsi="Times New Roman" w:eastAsia="宋体" w:cs="Times New Roman"/>
                <w:color w:val="auto"/>
                <w:kern w:val="2"/>
                <w:sz w:val="24"/>
                <w:szCs w:val="24"/>
                <w:lang w:val="en-US" w:eastAsia="zh-CN" w:bidi="ar-SA"/>
              </w:rPr>
            </w:pPr>
            <w:r>
              <w:rPr>
                <w:rFonts w:hint="eastAsia" w:ascii="Times New Roman" w:hAnsi="Times New Roman" w:eastAsia="宋体" w:cs="Times New Roman"/>
                <w:color w:val="auto"/>
                <w:sz w:val="24"/>
                <w:lang w:val="en-US" w:eastAsia="zh-CN"/>
              </w:rPr>
              <w:t>0</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default" w:ascii="Times New Roman" w:hAnsi="Times New Roman" w:eastAsia="宋体" w:cs="Times New Roman"/>
                <w:color w:val="auto"/>
                <w:kern w:val="2"/>
                <w:sz w:val="24"/>
                <w:szCs w:val="24"/>
                <w:lang w:val="en-US" w:eastAsia="zh-CN" w:bidi="ar-SA"/>
              </w:rPr>
            </w:pPr>
            <w:r>
              <w:rPr>
                <w:rFonts w:hint="eastAsia" w:ascii="Times New Roman" w:hAnsi="Times New Roman" w:eastAsia="宋体" w:cs="Times New Roman"/>
                <w:color w:val="auto"/>
                <w:sz w:val="24"/>
                <w:lang w:val="en-US" w:eastAsia="zh-CN"/>
              </w:rPr>
              <w:t>1</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default" w:ascii="Times New Roman" w:hAnsi="Times New Roman" w:eastAsia="宋体" w:cs="Times New Roman"/>
                <w:color w:val="auto"/>
                <w:kern w:val="2"/>
                <w:sz w:val="24"/>
                <w:szCs w:val="24"/>
                <w:lang w:val="en-US" w:eastAsia="zh-CN" w:bidi="ar-SA"/>
              </w:rPr>
            </w:pPr>
            <w:r>
              <w:rPr>
                <w:rFonts w:hint="eastAsia" w:ascii="Times New Roman" w:hAnsi="Times New Roman" w:eastAsia="宋体" w:cs="Times New Roman"/>
                <w:color w:val="auto"/>
                <w:sz w:val="24"/>
                <w:lang w:val="en-US" w:eastAsia="zh-CN"/>
              </w:rPr>
              <w:t>0</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default" w:ascii="Times New Roman" w:hAnsi="Times New Roman" w:eastAsia="宋体" w:cs="Times New Roman"/>
                <w:color w:val="auto"/>
                <w:kern w:val="2"/>
                <w:sz w:val="24"/>
                <w:szCs w:val="24"/>
                <w:lang w:val="en-US" w:eastAsia="zh-CN" w:bidi="ar-SA"/>
              </w:rPr>
            </w:pPr>
            <w:r>
              <w:rPr>
                <w:rFonts w:hint="eastAsia" w:ascii="Times New Roman" w:hAnsi="Times New Roman" w:eastAsia="宋体" w:cs="Times New Roman"/>
                <w:color w:val="auto"/>
                <w:sz w:val="24"/>
                <w:lang w:val="en-US" w:eastAsia="zh-CN"/>
              </w:rPr>
              <w:t>0</w:t>
            </w:r>
          </w:p>
        </w:tc>
        <w:tc>
          <w:tcPr>
            <w:tcW w:w="650"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default" w:ascii="Times New Roman" w:hAnsi="Times New Roman" w:eastAsia="宋体" w:cs="Times New Roman"/>
                <w:color w:val="auto"/>
                <w:kern w:val="2"/>
                <w:sz w:val="24"/>
                <w:szCs w:val="24"/>
                <w:lang w:val="en-US" w:eastAsia="zh-CN" w:bidi="ar-SA"/>
              </w:rPr>
            </w:pPr>
            <w:r>
              <w:rPr>
                <w:rFonts w:hint="eastAsia" w:ascii="Times New Roman" w:hAnsi="Times New Roman" w:eastAsia="宋体" w:cs="Times New Roman"/>
                <w:color w:val="auto"/>
                <w:sz w:val="24"/>
                <w:lang w:val="en-US" w:eastAsia="zh-CN"/>
              </w:rPr>
              <w:t>0</w:t>
            </w:r>
          </w:p>
        </w:tc>
        <w:tc>
          <w:tcPr>
            <w:tcW w:w="650"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default" w:ascii="Times New Roman" w:hAnsi="Times New Roman" w:eastAsia="宋体" w:cs="Times New Roman"/>
                <w:color w:val="auto"/>
                <w:kern w:val="2"/>
                <w:sz w:val="24"/>
                <w:szCs w:val="24"/>
                <w:lang w:val="en-US" w:eastAsia="zh-CN" w:bidi="ar-SA"/>
              </w:rPr>
            </w:pPr>
            <w:r>
              <w:rPr>
                <w:rFonts w:hint="eastAsia" w:ascii="Times New Roman" w:hAnsi="Times New Roman" w:eastAsia="宋体" w:cs="Times New Roman"/>
                <w:color w:val="auto"/>
                <w:sz w:val="24"/>
                <w:lang w:val="en-US" w:eastAsia="zh-CN"/>
              </w:rPr>
              <w:t>0</w:t>
            </w:r>
          </w:p>
        </w:tc>
        <w:tc>
          <w:tcPr>
            <w:tcW w:w="650"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default" w:ascii="Times New Roman" w:hAnsi="Times New Roman" w:eastAsia="宋体" w:cs="Times New Roman"/>
                <w:color w:val="auto"/>
                <w:kern w:val="2"/>
                <w:sz w:val="24"/>
                <w:szCs w:val="24"/>
                <w:lang w:val="en-US" w:eastAsia="zh-CN" w:bidi="ar-SA"/>
              </w:rPr>
            </w:pPr>
            <w:r>
              <w:rPr>
                <w:rFonts w:hint="eastAsia" w:ascii="Times New Roman" w:hAnsi="Times New Roman" w:eastAsia="宋体" w:cs="Times New Roman"/>
                <w:color w:val="auto"/>
                <w:sz w:val="24"/>
                <w:lang w:val="en-US" w:eastAsia="zh-CN"/>
              </w:rPr>
              <w:t>0</w:t>
            </w:r>
          </w:p>
        </w:tc>
        <w:tc>
          <w:tcPr>
            <w:tcW w:w="651"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default" w:ascii="Times New Roman" w:hAnsi="Times New Roman" w:eastAsia="宋体" w:cs="Times New Roman"/>
                <w:color w:val="auto"/>
                <w:kern w:val="2"/>
                <w:sz w:val="24"/>
                <w:szCs w:val="24"/>
                <w:lang w:val="en-US" w:eastAsia="zh-CN" w:bidi="ar-SA"/>
              </w:rPr>
            </w:pPr>
            <w:r>
              <w:rPr>
                <w:rFonts w:hint="eastAsia" w:ascii="Times New Roman" w:hAnsi="Times New Roman" w:eastAsia="宋体" w:cs="Times New Roman"/>
                <w:color w:val="auto"/>
                <w:sz w:val="24"/>
                <w:lang w:val="en-US" w:eastAsia="zh-CN"/>
              </w:rPr>
              <w:t>0</w:t>
            </w:r>
          </w:p>
        </w:tc>
        <w:tc>
          <w:tcPr>
            <w:tcW w:w="651"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default" w:ascii="Times New Roman" w:hAnsi="Times New Roman" w:eastAsia="宋体" w:cs="Times New Roman"/>
                <w:color w:val="auto"/>
                <w:kern w:val="2"/>
                <w:sz w:val="24"/>
                <w:szCs w:val="24"/>
                <w:lang w:val="en-US" w:eastAsia="zh-CN" w:bidi="ar-SA"/>
              </w:rPr>
            </w:pPr>
            <w:r>
              <w:rPr>
                <w:rFonts w:hint="eastAsia" w:ascii="Times New Roman" w:hAnsi="Times New Roman" w:eastAsia="宋体" w:cs="Times New Roman"/>
                <w:color w:val="auto"/>
                <w:sz w:val="24"/>
                <w:lang w:val="en-US" w:eastAsia="zh-CN"/>
              </w:rPr>
              <w:t>0</w:t>
            </w:r>
          </w:p>
        </w:tc>
        <w:tc>
          <w:tcPr>
            <w:tcW w:w="651"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default" w:ascii="Times New Roman" w:hAnsi="Times New Roman" w:eastAsia="宋体" w:cs="Times New Roman"/>
                <w:color w:val="auto"/>
                <w:kern w:val="2"/>
                <w:sz w:val="24"/>
                <w:szCs w:val="24"/>
                <w:lang w:val="en-US" w:eastAsia="zh-CN" w:bidi="ar-SA"/>
              </w:rPr>
            </w:pPr>
            <w:r>
              <w:rPr>
                <w:rFonts w:hint="eastAsia" w:ascii="Times New Roman" w:hAnsi="Times New Roman" w:eastAsia="宋体" w:cs="Times New Roman"/>
                <w:color w:val="auto"/>
                <w:sz w:val="24"/>
                <w:lang w:val="en-US" w:eastAsia="zh-CN"/>
              </w:rPr>
              <w:t>0</w:t>
            </w:r>
          </w:p>
        </w:tc>
        <w:tc>
          <w:tcPr>
            <w:tcW w:w="651"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default" w:ascii="Times New Roman" w:hAnsi="Times New Roman" w:eastAsia="宋体" w:cs="Times New Roman"/>
                <w:color w:val="auto"/>
                <w:kern w:val="2"/>
                <w:sz w:val="24"/>
                <w:szCs w:val="24"/>
                <w:lang w:val="en-US" w:eastAsia="zh-CN" w:bidi="ar-SA"/>
              </w:rPr>
            </w:pPr>
            <w:r>
              <w:rPr>
                <w:rFonts w:hint="eastAsia" w:ascii="Times New Roman" w:hAnsi="Times New Roman" w:eastAsia="宋体" w:cs="Times New Roman"/>
                <w:color w:val="auto"/>
                <w:sz w:val="24"/>
                <w:lang w:val="en-US" w:eastAsia="zh-CN"/>
              </w:rPr>
              <w:t>1</w:t>
            </w:r>
          </w:p>
        </w:tc>
        <w:tc>
          <w:tcPr>
            <w:tcW w:w="651" w:type="dxa"/>
            <w:tcBorders>
              <w:top w:val="nil"/>
              <w:left w:val="single" w:color="auto" w:sz="8" w:space="0"/>
              <w:bottom w:val="single" w:color="auto" w:sz="8" w:space="0"/>
              <w:right w:val="single" w:color="auto" w:sz="8" w:space="0"/>
            </w:tcBorders>
            <w:noWrap w:val="0"/>
            <w:tcMar>
              <w:left w:w="108" w:type="dxa"/>
              <w:right w:w="108" w:type="dxa"/>
            </w:tcMar>
            <w:vAlign w:val="center"/>
          </w:tcPr>
          <w:p>
            <w:pPr>
              <w:jc w:val="center"/>
              <w:rPr>
                <w:rFonts w:hint="default" w:ascii="Times New Roman" w:hAnsi="Times New Roman" w:eastAsia="宋体" w:cs="Times New Roman"/>
                <w:color w:val="auto"/>
                <w:kern w:val="2"/>
                <w:sz w:val="24"/>
                <w:szCs w:val="24"/>
                <w:lang w:val="en-US" w:eastAsia="zh-CN" w:bidi="ar-SA"/>
              </w:rPr>
            </w:pPr>
            <w:r>
              <w:rPr>
                <w:rFonts w:hint="eastAsia" w:ascii="Times New Roman" w:hAnsi="Times New Roman" w:eastAsia="宋体" w:cs="Times New Roman"/>
                <w:color w:val="auto"/>
                <w:sz w:val="24"/>
                <w:szCs w:val="24"/>
                <w:lang w:val="en-US" w:eastAsia="zh-CN"/>
              </w:rPr>
              <w:t>1</w:t>
            </w:r>
          </w:p>
        </w:tc>
      </w:tr>
    </w:tbl>
    <w:p>
      <w:pPr>
        <w:pStyle w:val="5"/>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黑体" w:cs="Times New Roman"/>
          <w:color w:val="auto"/>
          <w:sz w:val="32"/>
          <w:szCs w:val="19"/>
          <w:shd w:val="clear" w:color="auto" w:fill="FFFFFF"/>
          <w:lang w:bidi="ar-SA"/>
        </w:rPr>
      </w:pPr>
      <w:r>
        <w:rPr>
          <w:rFonts w:hint="eastAsia" w:ascii="Times New Roman" w:hAnsi="Times New Roman" w:eastAsia="黑体" w:cs="Times New Roman"/>
          <w:color w:val="auto"/>
          <w:kern w:val="0"/>
          <w:sz w:val="32"/>
          <w:szCs w:val="19"/>
          <w:shd w:val="clear" w:fill="FFFFFF"/>
          <w:lang w:val="en-US" w:eastAsia="zh-CN" w:bidi="ar-SA"/>
        </w:rPr>
        <w:t>五、</w:t>
      </w:r>
      <w:r>
        <w:rPr>
          <w:rFonts w:hint="default" w:ascii="Times New Roman" w:hAnsi="Times New Roman" w:eastAsia="黑体" w:cs="Times New Roman"/>
          <w:color w:val="auto"/>
          <w:sz w:val="32"/>
          <w:szCs w:val="19"/>
          <w:shd w:val="clear" w:color="auto" w:fill="FFFFFF"/>
          <w:lang w:bidi="ar-SA"/>
        </w:rPr>
        <w:t>存在的主要问题及改进情况</w:t>
      </w:r>
    </w:p>
    <w:p>
      <w:pPr>
        <w:pStyle w:val="5"/>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目前存在的主要问题是</w:t>
      </w:r>
      <w:r>
        <w:rPr>
          <w:rFonts w:hint="eastAsia" w:ascii="仿宋_GB2312" w:hAnsi="仿宋_GB2312" w:eastAsia="仿宋_GB2312" w:cs="仿宋_GB2312"/>
          <w:kern w:val="0"/>
          <w:sz w:val="32"/>
          <w:szCs w:val="32"/>
          <w:lang w:val="en-US" w:eastAsia="zh-CN" w:bidi="ar"/>
        </w:rPr>
        <w:t>主动公开政府信息内容与公众的需求还存在一些差距，公开内容较为单一、形式缺乏创新</w:t>
      </w:r>
      <w:r>
        <w:rPr>
          <w:rFonts w:hint="eastAsia" w:ascii="仿宋_GB2312" w:hAnsi="仿宋_GB2312" w:eastAsia="仿宋_GB2312" w:cs="仿宋_GB2312"/>
          <w:i w:val="0"/>
          <w:iCs w:val="0"/>
          <w:caps w:val="0"/>
          <w:color w:val="auto"/>
          <w:spacing w:val="0"/>
          <w:sz w:val="32"/>
          <w:szCs w:val="32"/>
          <w:shd w:val="clear" w:fill="FFFFFF"/>
        </w:rPr>
        <w:t>。针对上述问题，我</w:t>
      </w:r>
      <w:r>
        <w:rPr>
          <w:rFonts w:hint="eastAsia" w:ascii="仿宋_GB2312" w:hAnsi="仿宋_GB2312" w:eastAsia="仿宋_GB2312" w:cs="仿宋_GB2312"/>
          <w:i w:val="0"/>
          <w:iCs w:val="0"/>
          <w:caps w:val="0"/>
          <w:color w:val="auto"/>
          <w:spacing w:val="0"/>
          <w:sz w:val="32"/>
          <w:szCs w:val="32"/>
          <w:shd w:val="clear" w:fill="FFFFFF"/>
          <w:lang w:eastAsia="zh-CN"/>
        </w:rPr>
        <w:t>局</w:t>
      </w:r>
      <w:r>
        <w:rPr>
          <w:rFonts w:hint="eastAsia" w:ascii="仿宋_GB2312" w:hAnsi="仿宋_GB2312" w:eastAsia="仿宋_GB2312" w:cs="仿宋_GB2312"/>
          <w:i w:val="0"/>
          <w:iCs w:val="0"/>
          <w:caps w:val="0"/>
          <w:color w:val="auto"/>
          <w:spacing w:val="0"/>
          <w:sz w:val="32"/>
          <w:szCs w:val="32"/>
          <w:shd w:val="clear" w:fill="FFFFFF"/>
        </w:rPr>
        <w:t>将严格落实《</w:t>
      </w:r>
      <w:r>
        <w:rPr>
          <w:rFonts w:hint="eastAsia" w:ascii="仿宋_GB2312" w:hAnsi="仿宋_GB2312" w:eastAsia="仿宋_GB2312" w:cs="仿宋_GB2312"/>
          <w:i w:val="0"/>
          <w:iCs w:val="0"/>
          <w:caps w:val="0"/>
          <w:color w:val="auto"/>
          <w:spacing w:val="0"/>
          <w:sz w:val="32"/>
          <w:szCs w:val="32"/>
          <w:shd w:val="clear" w:fill="FFFFFF"/>
          <w:lang w:eastAsia="zh-CN"/>
        </w:rPr>
        <w:t>中华人民共和国</w:t>
      </w:r>
      <w:r>
        <w:rPr>
          <w:rFonts w:hint="eastAsia" w:ascii="仿宋_GB2312" w:hAnsi="仿宋_GB2312" w:eastAsia="仿宋_GB2312" w:cs="仿宋_GB2312"/>
          <w:i w:val="0"/>
          <w:iCs w:val="0"/>
          <w:caps w:val="0"/>
          <w:color w:val="auto"/>
          <w:spacing w:val="0"/>
          <w:sz w:val="32"/>
          <w:szCs w:val="32"/>
          <w:shd w:val="clear" w:fill="FFFFFF"/>
        </w:rPr>
        <w:t>政府信息公开条例》要求，深挖主动公开信息的多样性，结合新媒体等形式创新公开方式，提升主动公开内容的可读性。注重群众需求，加强对政策背景、出台目的、重要举措等方面的重点内容解读。</w:t>
      </w:r>
    </w:p>
    <w:p>
      <w:pPr>
        <w:pStyle w:val="5"/>
        <w:keepNext w:val="0"/>
        <w:keepLines w:val="0"/>
        <w:pageBreakBefore w:val="0"/>
        <w:widowControl/>
        <w:shd w:val="clear" w:color="auto" w:fill="FFFFFF"/>
        <w:kinsoku/>
        <w:wordWrap/>
        <w:overflowPunct/>
        <w:topLinePunct w:val="0"/>
        <w:bidi w:val="0"/>
        <w:spacing w:beforeAutospacing="0" w:afterAutospacing="0" w:line="560" w:lineRule="exact"/>
        <w:ind w:firstLine="640" w:firstLineChars="200"/>
        <w:jc w:val="both"/>
        <w:textAlignment w:val="auto"/>
        <w:rPr>
          <w:rFonts w:hint="default" w:ascii="Times New Roman" w:hAnsi="Times New Roman" w:eastAsia="黑体" w:cs="Times New Roman"/>
          <w:color w:val="auto"/>
          <w:sz w:val="32"/>
          <w:szCs w:val="19"/>
          <w:lang w:bidi="ar-SA"/>
        </w:rPr>
      </w:pPr>
      <w:r>
        <w:rPr>
          <w:rFonts w:hint="default" w:ascii="Times New Roman" w:hAnsi="Times New Roman" w:eastAsia="黑体" w:cs="Times New Roman"/>
          <w:color w:val="auto"/>
          <w:sz w:val="32"/>
          <w:szCs w:val="19"/>
          <w:shd w:val="clear" w:color="auto" w:fill="FFFFFF"/>
          <w:lang w:bidi="ar-SA"/>
        </w:rPr>
        <w:t>六、其他需要报告的事项</w:t>
      </w:r>
    </w:p>
    <w:p>
      <w:pPr>
        <w:keepNext w:val="0"/>
        <w:keepLines w:val="0"/>
        <w:pageBreakBefore w:val="0"/>
        <w:kinsoku/>
        <w:wordWrap/>
        <w:overflowPunct/>
        <w:topLinePunct w:val="0"/>
        <w:autoSpaceDE w:val="0"/>
        <w:autoSpaceDN w:val="0"/>
        <w:bidi w:val="0"/>
        <w:adjustRightInd w:val="0"/>
        <w:snapToGrid w:val="0"/>
        <w:spacing w:line="560" w:lineRule="exact"/>
        <w:ind w:firstLine="640" w:firstLineChars="200"/>
        <w:textAlignment w:val="auto"/>
      </w:pPr>
      <w:r>
        <w:rPr>
          <w:rFonts w:hint="default" w:ascii="Times New Roman" w:hAnsi="Times New Roman" w:eastAsia="仿宋_GB2312" w:cs="Times New Roman"/>
          <w:color w:val="auto"/>
          <w:sz w:val="32"/>
          <w:szCs w:val="32"/>
          <w:shd w:val="clear" w:color="auto" w:fill="FFFFFF"/>
          <w:lang w:val="en-US" w:eastAsia="zh-CN"/>
        </w:rPr>
        <w:t>2023</w:t>
      </w:r>
      <w:r>
        <w:rPr>
          <w:rFonts w:hint="default" w:ascii="Times New Roman" w:hAnsi="Times New Roman" w:eastAsia="仿宋_GB2312" w:cs="Times New Roman"/>
          <w:color w:val="auto"/>
          <w:sz w:val="32"/>
          <w:szCs w:val="32"/>
          <w:shd w:val="clear" w:color="auto" w:fill="FFFFFF"/>
        </w:rPr>
        <w:t>年度广州市黄埔区教育局收取信息处理费0元。如需了解更多信息，请登陆广州市黄埔区教育局政府信息公开目录（网址：</w:t>
      </w:r>
      <w:r>
        <w:rPr>
          <w:rFonts w:hint="default" w:ascii="Times New Roman" w:hAnsi="Times New Roman" w:eastAsia="仿宋_GB2312" w:cs="Times New Roman"/>
          <w:color w:val="auto"/>
          <w:sz w:val="32"/>
          <w:szCs w:val="32"/>
          <w:shd w:val="clear" w:color="auto" w:fill="FFFFFF"/>
        </w:rPr>
        <w:fldChar w:fldCharType="begin"/>
      </w:r>
      <w:r>
        <w:rPr>
          <w:rFonts w:hint="default" w:ascii="Times New Roman" w:hAnsi="Times New Roman" w:eastAsia="仿宋_GB2312" w:cs="Times New Roman"/>
          <w:color w:val="auto"/>
          <w:sz w:val="32"/>
          <w:szCs w:val="32"/>
          <w:shd w:val="clear" w:color="auto" w:fill="FFFFFF"/>
        </w:rPr>
        <w:instrText xml:space="preserve"> HYPERLINK "http://www.hp.gov.cn/gzhpjy/gkmlpt/index）进行查看。" </w:instrText>
      </w:r>
      <w:r>
        <w:rPr>
          <w:rFonts w:hint="default" w:ascii="Times New Roman" w:hAnsi="Times New Roman" w:eastAsia="仿宋_GB2312" w:cs="Times New Roman"/>
          <w:color w:val="auto"/>
          <w:sz w:val="32"/>
          <w:szCs w:val="32"/>
          <w:shd w:val="clear" w:color="auto" w:fill="FFFFFF"/>
        </w:rPr>
        <w:fldChar w:fldCharType="separate"/>
      </w:r>
      <w:r>
        <w:rPr>
          <w:rStyle w:val="10"/>
          <w:rFonts w:hint="default" w:ascii="Times New Roman" w:hAnsi="Times New Roman" w:eastAsia="仿宋_GB2312" w:cs="Times New Roman"/>
          <w:color w:val="auto"/>
          <w:sz w:val="32"/>
          <w:szCs w:val="32"/>
          <w:shd w:val="clear" w:color="auto" w:fill="FFFFFF"/>
        </w:rPr>
        <w:t>http://www.hp.gov.cn/gzhpjy/gkmlpt/index）进行查看。</w:t>
      </w:r>
      <w:r>
        <w:rPr>
          <w:rFonts w:hint="default" w:ascii="Times New Roman" w:hAnsi="Times New Roman" w:eastAsia="仿宋_GB2312" w:cs="Times New Roman"/>
          <w:color w:val="auto"/>
          <w:sz w:val="32"/>
          <w:szCs w:val="32"/>
          <w:shd w:val="clear" w:color="auto" w:fill="FFFFFF"/>
        </w:rPr>
        <w:fldChar w:fldCharType="end"/>
      </w: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汉仪黑方简">
    <w:panose1 w:val="00020600040101010101"/>
    <w:charset w:val="86"/>
    <w:family w:val="auto"/>
    <w:pitch w:val="default"/>
    <w:sig w:usb0="A000003F" w:usb1="0AC17CFA" w:usb2="00000016" w:usb3="00000000" w:csb0="0004009F" w:csb1="00000000"/>
  </w:font>
  <w:font w:name="华文琥珀">
    <w:panose1 w:val="02010800040101010101"/>
    <w:charset w:val="86"/>
    <w:family w:val="auto"/>
    <w:pitch w:val="default"/>
    <w:sig w:usb0="00000001" w:usb1="080F0000" w:usb2="00000000" w:usb3="00000000" w:csb0="00040000" w:csb1="00000000"/>
  </w:font>
  <w:font w:name="幼圆">
    <w:panose1 w:val="0201050906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EwNzRkOTYyOGE5NzIzMWUxNzFiNjliOWRkMGQ2ZmQifQ=="/>
  </w:docVars>
  <w:rsids>
    <w:rsidRoot w:val="219E25C2"/>
    <w:rsid w:val="103E7FAD"/>
    <w:rsid w:val="11D622D8"/>
    <w:rsid w:val="16354E4B"/>
    <w:rsid w:val="1C0413C8"/>
    <w:rsid w:val="219E25C2"/>
    <w:rsid w:val="254C7706"/>
    <w:rsid w:val="2BD0215F"/>
    <w:rsid w:val="36EB1712"/>
    <w:rsid w:val="40517B2E"/>
    <w:rsid w:val="4ACD0FA1"/>
    <w:rsid w:val="55B62D3D"/>
    <w:rsid w:val="60992F42"/>
    <w:rsid w:val="674C36FE"/>
    <w:rsid w:val="6B2734B9"/>
    <w:rsid w:val="71F107C2"/>
    <w:rsid w:val="748A428C"/>
    <w:rsid w:val="748D75FD"/>
    <w:rsid w:val="76B37A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autoRedefine/>
    <w:semiHidden/>
    <w:qFormat/>
    <w:uiPriority w:val="0"/>
  </w:style>
  <w:style w:type="table" w:default="1" w:styleId="7">
    <w:name w:val="Normal Table"/>
    <w:autoRedefine/>
    <w:semiHidden/>
    <w:qFormat/>
    <w:uiPriority w:val="0"/>
    <w:tblPr>
      <w:tblCellMar>
        <w:top w:w="0" w:type="dxa"/>
        <w:left w:w="108" w:type="dxa"/>
        <w:bottom w:w="0" w:type="dxa"/>
        <w:right w:w="108" w:type="dxa"/>
      </w:tblCellMar>
    </w:tblPr>
  </w:style>
  <w:style w:type="paragraph" w:customStyle="1" w:styleId="2">
    <w:name w:val="TOC2"/>
    <w:basedOn w:val="1"/>
    <w:next w:val="1"/>
    <w:autoRedefine/>
    <w:qFormat/>
    <w:uiPriority w:val="0"/>
    <w:pPr>
      <w:spacing w:before="100" w:beforeAutospacing="1" w:after="100" w:afterAutospacing="1"/>
      <w:ind w:left="420"/>
    </w:pPr>
    <w:rPr>
      <w:rFonts w:ascii="Calibri" w:hAnsi="Calibri" w:eastAsia="仿宋"/>
      <w:szCs w:val="21"/>
    </w:rPr>
  </w:style>
  <w:style w:type="paragraph" w:styleId="3">
    <w:name w:val="footer"/>
    <w:basedOn w:val="1"/>
    <w:autoRedefine/>
    <w:unhideWhenUsed/>
    <w:qFormat/>
    <w:uiPriority w:val="99"/>
    <w:pPr>
      <w:tabs>
        <w:tab w:val="center" w:pos="4153"/>
        <w:tab w:val="right" w:pos="8306"/>
      </w:tabs>
      <w:snapToGrid w:val="0"/>
      <w:jc w:val="left"/>
    </w:pPr>
    <w:rPr>
      <w:sz w:val="18"/>
      <w:szCs w:val="18"/>
    </w:rPr>
  </w:style>
  <w:style w:type="paragraph" w:styleId="4">
    <w:name w:val="toc 2"/>
    <w:basedOn w:val="1"/>
    <w:next w:val="1"/>
    <w:autoRedefine/>
    <w:qFormat/>
    <w:uiPriority w:val="0"/>
    <w:pPr>
      <w:ind w:left="420" w:leftChars="200"/>
    </w:pPr>
  </w:style>
  <w:style w:type="paragraph" w:styleId="5">
    <w:name w:val="Normal (Web)"/>
    <w:basedOn w:val="1"/>
    <w:autoRedefine/>
    <w:qFormat/>
    <w:uiPriority w:val="0"/>
    <w:pPr>
      <w:spacing w:beforeAutospacing="1" w:afterAutospacing="1"/>
      <w:jc w:val="left"/>
    </w:pPr>
    <w:rPr>
      <w:rFonts w:cs="Times New Roman"/>
      <w:kern w:val="0"/>
      <w:sz w:val="24"/>
      <w:lang w:bidi="ar-SA"/>
    </w:rPr>
  </w:style>
  <w:style w:type="paragraph" w:styleId="6">
    <w:name w:val="Body Text First Indent"/>
    <w:basedOn w:val="1"/>
    <w:autoRedefine/>
    <w:qFormat/>
    <w:uiPriority w:val="99"/>
    <w:pPr>
      <w:ind w:firstLine="420" w:firstLineChars="100"/>
    </w:pPr>
  </w:style>
  <w:style w:type="character" w:styleId="9">
    <w:name w:val="FollowedHyperlink"/>
    <w:basedOn w:val="8"/>
    <w:autoRedefine/>
    <w:qFormat/>
    <w:uiPriority w:val="0"/>
    <w:rPr>
      <w:color w:val="333333"/>
      <w:u w:val="none"/>
    </w:rPr>
  </w:style>
  <w:style w:type="character" w:styleId="10">
    <w:name w:val="Hyperlink"/>
    <w:autoRedefine/>
    <w:unhideWhenUsed/>
    <w:qFormat/>
    <w:uiPriority w:val="99"/>
    <w:rPr>
      <w:color w:val="333333"/>
      <w:u w:val="none"/>
    </w:rPr>
  </w:style>
  <w:style w:type="character" w:styleId="11">
    <w:name w:val="HTML Code"/>
    <w:basedOn w:val="8"/>
    <w:autoRedefine/>
    <w:qFormat/>
    <w:uiPriority w:val="0"/>
    <w:rPr>
      <w:rFonts w:ascii="Courier New" w:hAnsi="Courier New"/>
      <w:sz w:val="20"/>
    </w:rPr>
  </w:style>
  <w:style w:type="character" w:customStyle="1" w:styleId="12">
    <w:name w:val="calendar-head__year-range"/>
    <w:basedOn w:val="8"/>
    <w:autoRedefine/>
    <w:qFormat/>
    <w:uiPriority w:val="0"/>
    <w:rPr>
      <w:vanish/>
    </w:rPr>
  </w:style>
  <w:style w:type="character" w:customStyle="1" w:styleId="13">
    <w:name w:val="calendar-head__next-range-btn"/>
    <w:basedOn w:val="8"/>
    <w:autoRedefine/>
    <w:qFormat/>
    <w:uiPriority w:val="0"/>
    <w:rPr>
      <w:vanish/>
    </w:rPr>
  </w:style>
  <w:style w:type="character" w:customStyle="1" w:styleId="14">
    <w:name w:val="hover"/>
    <w:basedOn w:val="8"/>
    <w:autoRedefine/>
    <w:qFormat/>
    <w:uiPriority w:val="0"/>
    <w:rPr>
      <w:color w:val="2F6EA2"/>
    </w:rPr>
  </w:style>
  <w:style w:type="character" w:customStyle="1" w:styleId="15">
    <w:name w:val="calendar-head__prev-range-btn"/>
    <w:basedOn w:val="8"/>
    <w:autoRedefine/>
    <w:qFormat/>
    <w:uiPriority w:val="0"/>
    <w:rPr>
      <w:vanish/>
    </w:rPr>
  </w:style>
  <w:style w:type="character" w:customStyle="1" w:styleId="16">
    <w:name w:val="calendar-head__next-month-btn"/>
    <w:basedOn w:val="8"/>
    <w:autoRedefine/>
    <w:uiPriority w:val="0"/>
  </w:style>
  <w:style w:type="character" w:customStyle="1" w:styleId="17">
    <w:name w:val="calendar-head__text-display"/>
    <w:basedOn w:val="8"/>
    <w:autoRedefine/>
    <w:qFormat/>
    <w:uiPriority w:val="0"/>
    <w:rPr>
      <w:vanish/>
    </w:rPr>
  </w:style>
  <w:style w:type="character" w:customStyle="1" w:styleId="18">
    <w:name w:val="calendar-head__next-year-btn"/>
    <w:basedOn w:val="8"/>
    <w:qFormat/>
    <w:uiPriority w:val="0"/>
  </w:style>
  <w:style w:type="character" w:customStyle="1" w:styleId="19">
    <w:name w:val="active"/>
    <w:basedOn w:val="8"/>
    <w:autoRedefine/>
    <w:qFormat/>
    <w:uiPriority w:val="0"/>
    <w:rPr>
      <w:color w:val="333333"/>
    </w:rPr>
  </w:style>
  <w:style w:type="character" w:customStyle="1" w:styleId="20">
    <w:name w:val="hover1"/>
    <w:basedOn w:val="8"/>
    <w:autoRedefine/>
    <w:qFormat/>
    <w:uiPriority w:val="0"/>
    <w:rPr>
      <w:color w:val="5FB878"/>
    </w:rPr>
  </w:style>
  <w:style w:type="character" w:customStyle="1" w:styleId="21">
    <w:name w:val="hover2"/>
    <w:basedOn w:val="8"/>
    <w:qFormat/>
    <w:uiPriority w:val="0"/>
    <w:rPr>
      <w:color w:val="FFFFFF"/>
    </w:rPr>
  </w:style>
  <w:style w:type="character" w:customStyle="1" w:styleId="22">
    <w:name w:val="first-child"/>
    <w:basedOn w:val="8"/>
    <w:autoRedefine/>
    <w:qFormat/>
    <w:uiPriority w:val="0"/>
  </w:style>
  <w:style w:type="character" w:customStyle="1" w:styleId="23">
    <w:name w:val="layui-this2"/>
    <w:basedOn w:val="8"/>
    <w:autoRedefine/>
    <w:qFormat/>
    <w:uiPriority w:val="0"/>
    <w:rPr>
      <w:bdr w:val="single" w:color="EEEEEE" w:sz="6" w:space="0"/>
      <w:shd w:val="clear" w:fill="FFFFFF"/>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hart" Target="charts/chart3.xml"/><Relationship Id="rId5" Type="http://schemas.openxmlformats.org/officeDocument/2006/relationships/chart" Target="charts/chart2.xml"/><Relationship Id="rId4" Type="http://schemas.openxmlformats.org/officeDocument/2006/relationships/chart" Target="charts/chart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file:///C:\Users\Administrator\Desktop\&#26446;&#25935;\1.&#25919;&#21153;&#20844;&#24320;\6.&#25919;&#21153;&#20844;&#24320;&#24180;&#24230;&#25253;&#21578;\2023&#24180;&#24230;\&#24037;&#20316;&#31807;2.xlsx" TargetMode="External"/></Relationships>
</file>

<file path=word/charts/_rels/chart2.xml.rels><?xml version="1.0" encoding="UTF-8" standalone="yes"?>
<Relationships xmlns="http://schemas.openxmlformats.org/package/2006/relationships"><Relationship Id="rId2" Type="http://schemas.openxmlformats.org/officeDocument/2006/relationships/themeOverride" Target="../theme/themeOverride1.xml"/><Relationship Id="rId1" Type="http://schemas.openxmlformats.org/officeDocument/2006/relationships/oleObject" Target="file:///C:\Users\Administrator\Desktop\&#26446;&#25935;\1.&#25919;&#21153;&#20844;&#24320;\6.&#25919;&#21153;&#20844;&#24320;&#24180;&#24230;&#25253;&#21578;\2023&#24180;&#24230;\&#24037;&#20316;&#31807;2.xlsx" TargetMode="External"/></Relationships>
</file>

<file path=word/charts/_rels/chart3.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C:\Users\Administrator\Desktop\&#26446;&#25935;\1.&#25919;&#21153;&#20844;&#24320;\6.&#25919;&#21153;&#20844;&#24320;&#24180;&#24230;&#25253;&#21578;\2023&#24180;&#24230;\&#24037;&#20316;&#31807;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forceAA="0"/>
          <a:lstStyle/>
          <a:p>
            <a:pPr defTabSz="914400">
              <a:defRPr lang="zh-CN" sz="1440" b="0" i="0" u="none" strike="noStrike" kern="1200" spc="0" baseline="0">
                <a:solidFill>
                  <a:schemeClr val="tx1"/>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r>
              <a:rPr sz="1440">
                <a:latin typeface="微软雅黑" panose="020B0503020204020204" charset="-122"/>
                <a:ea typeface="微软雅黑" panose="020B0503020204020204" charset="-122"/>
                <a:cs typeface="微软雅黑" panose="020B0503020204020204" charset="-122"/>
                <a:sym typeface="微软雅黑" panose="020B0503020204020204" charset="-122"/>
              </a:rPr>
              <a:t>政府信息主动公开情况</a:t>
            </a:r>
            <a:endParaRPr sz="1440">
              <a:latin typeface="微软雅黑" panose="020B0503020204020204" charset="-122"/>
              <a:ea typeface="微软雅黑" panose="020B0503020204020204" charset="-122"/>
              <a:cs typeface="微软雅黑" panose="020B0503020204020204" charset="-122"/>
              <a:sym typeface="微软雅黑" panose="020B0503020204020204" charset="-122"/>
            </a:endParaRPr>
          </a:p>
        </c:rich>
      </c:tx>
      <c:layout/>
      <c:overlay val="0"/>
      <c:spPr>
        <a:noFill/>
        <a:ln>
          <a:noFill/>
        </a:ln>
        <a:effectLst/>
      </c:spPr>
    </c:title>
    <c:autoTitleDeleted val="0"/>
    <c:plotArea>
      <c:layout/>
      <c:barChart>
        <c:barDir val="col"/>
        <c:grouping val="clustered"/>
        <c:varyColors val="0"/>
        <c:ser>
          <c:idx val="0"/>
          <c:order val="0"/>
          <c:spPr>
            <a:pattFill prst="dkHorz">
              <a:fgClr>
                <a:schemeClr val="accent1"/>
              </a:fgClr>
              <a:bgClr>
                <a:schemeClr val="accent1">
                  <a:lumMod val="20000"/>
                  <a:lumOff val="80000"/>
                </a:schemeClr>
              </a:bgClr>
            </a:pattFill>
            <a:ln>
              <a:noFill/>
            </a:ln>
            <a:effectLst/>
          </c:spPr>
          <c:invertIfNegative val="0"/>
          <c:dLbls>
            <c:numFmt formatCode="General" sourceLinked="1"/>
            <c:spPr>
              <a:noFill/>
              <a:ln>
                <a:noFill/>
              </a:ln>
              <a:effectLst/>
            </c:spPr>
            <c:txPr>
              <a:bodyPr rot="0" spcFirstLastPara="0" vertOverflow="ellipsis" vert="horz" wrap="square" lIns="38100" tIns="19050" rIns="38100" bIns="19050" anchor="ctr" anchorCtr="1" forceAA="0"/>
              <a:lstStyle/>
              <a:p>
                <a:pPr>
                  <a:defRPr lang="zh-CN" sz="1200" b="0" i="0" u="none" strike="noStrike" kern="1200" baseline="0">
                    <a:solidFill>
                      <a:schemeClr val="tx1">
                        <a:lumMod val="50000"/>
                        <a:lumOff val="50000"/>
                      </a:schemeClr>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[工作簿2.xlsx]Sheet1!$A$2:$A$9</c:f>
              <c:strCache>
                <c:ptCount val="8"/>
                <c:pt idx="0">
                  <c:v>组织机构</c:v>
                </c:pt>
                <c:pt idx="1">
                  <c:v>部门文件</c:v>
                </c:pt>
                <c:pt idx="2">
                  <c:v>行政执法</c:v>
                </c:pt>
                <c:pt idx="3">
                  <c:v>工作动态</c:v>
                </c:pt>
                <c:pt idx="4">
                  <c:v>财政预决算</c:v>
                </c:pt>
                <c:pt idx="5">
                  <c:v>最新信息公开</c:v>
                </c:pt>
                <c:pt idx="6">
                  <c:v>政府信息公开年报</c:v>
                </c:pt>
                <c:pt idx="7">
                  <c:v>规范性文件</c:v>
                </c:pt>
              </c:strCache>
            </c:strRef>
          </c:cat>
          <c:val>
            <c:numRef>
              <c:f>[工作簿2.xlsx]Sheet1!$B$2:$B$9</c:f>
              <c:numCache>
                <c:formatCode>General</c:formatCode>
                <c:ptCount val="8"/>
                <c:pt idx="0">
                  <c:v>3</c:v>
                </c:pt>
                <c:pt idx="1">
                  <c:v>119</c:v>
                </c:pt>
                <c:pt idx="2">
                  <c:v>135</c:v>
                </c:pt>
                <c:pt idx="3">
                  <c:v>60</c:v>
                </c:pt>
                <c:pt idx="4">
                  <c:v>236</c:v>
                </c:pt>
                <c:pt idx="5">
                  <c:v>68</c:v>
                </c:pt>
                <c:pt idx="6">
                  <c:v>1</c:v>
                </c:pt>
                <c:pt idx="7">
                  <c:v>1</c:v>
                </c:pt>
              </c:numCache>
            </c:numRef>
          </c:val>
        </c:ser>
        <c:dLbls>
          <c:showLegendKey val="0"/>
          <c:showVal val="1"/>
          <c:showCatName val="0"/>
          <c:showSerName val="0"/>
          <c:showPercent val="0"/>
          <c:showBubbleSize val="0"/>
        </c:dLbls>
        <c:gapWidth val="245"/>
        <c:overlap val="-15"/>
        <c:axId val="793548861"/>
        <c:axId val="57906574"/>
      </c:barChart>
      <c:catAx>
        <c:axId val="79354886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forceAA="0"/>
          <a:lstStyle/>
          <a:p>
            <a:pPr>
              <a:defRPr lang="zh-CN" sz="1200" b="0" i="0" u="none" strike="noStrike" kern="1200" baseline="0">
                <a:solidFill>
                  <a:schemeClr val="tx1">
                    <a:lumMod val="65000"/>
                    <a:lumOff val="35000"/>
                  </a:schemeClr>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p>
        </c:txPr>
        <c:crossAx val="57906574"/>
        <c:crosses val="autoZero"/>
        <c:auto val="1"/>
        <c:lblAlgn val="ctr"/>
        <c:lblOffset val="100"/>
        <c:noMultiLvlLbl val="0"/>
      </c:catAx>
      <c:valAx>
        <c:axId val="57906574"/>
        <c:scaling>
          <c:orientation val="minMax"/>
        </c:scaling>
        <c:delete val="0"/>
        <c:axPos val="l"/>
        <c:numFmt formatCode="General" sourceLinked="1"/>
        <c:majorTickMark val="none"/>
        <c:minorTickMark val="none"/>
        <c:tickLblPos val="nextTo"/>
        <c:spPr>
          <a:noFill/>
          <a:ln>
            <a:noFill/>
          </a:ln>
          <a:effectLst/>
        </c:spPr>
        <c:txPr>
          <a:bodyPr rot="-60000000" spcFirstLastPara="0" vertOverflow="ellipsis" vert="horz" wrap="square" anchor="ctr" anchorCtr="1" forceAA="0"/>
          <a:lstStyle/>
          <a:p>
            <a:pPr>
              <a:defRPr lang="zh-CN" sz="1200" b="0" i="0" u="none" strike="noStrike" kern="1200" baseline="0">
                <a:solidFill>
                  <a:schemeClr val="tx1">
                    <a:lumMod val="65000"/>
                    <a:lumOff val="35000"/>
                  </a:schemeClr>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p>
        </c:txPr>
        <c:crossAx val="793548861"/>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sz="1200">
          <a:latin typeface="微软雅黑" panose="020B0503020204020204" charset="-122"/>
          <a:ea typeface="微软雅黑" panose="020B0503020204020204" charset="-122"/>
          <a:cs typeface="微软雅黑" panose="020B0503020204020204" charset="-122"/>
          <a:sym typeface="微软雅黑" panose="020B0503020204020204" charset="-122"/>
        </a:defRPr>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0" vertOverflow="ellipsis" vert="horz" wrap="square" anchor="ctr" anchorCtr="1" forceAA="0"/>
          <a:lstStyle/>
          <a:p>
            <a:pPr>
              <a:defRPr lang="zh-CN" sz="1400" b="0" i="0" u="none" strike="noStrike" kern="1200" spc="0" baseline="0">
                <a:solidFill>
                  <a:schemeClr val="tx1"/>
                </a:solidFill>
                <a:latin typeface="+mn-lt"/>
                <a:ea typeface="+mn-ea"/>
                <a:cs typeface="+mn-cs"/>
              </a:defRPr>
            </a:pPr>
            <a:r>
              <a:t>依申请公开情况</a:t>
            </a:r>
          </a:p>
        </c:rich>
      </c:tx>
      <c:layout/>
      <c:overlay val="0"/>
      <c:spPr>
        <a:noFill/>
        <a:ln>
          <a:noFill/>
        </a:ln>
        <a:effectLst/>
      </c:spPr>
    </c:title>
    <c:autoTitleDeleted val="0"/>
    <c:view3D>
      <c:rotX val="20"/>
      <c:rotY val="0"/>
      <c:depthPercent val="100"/>
      <c:rAngAx val="0"/>
    </c:view3D>
    <c:floor>
      <c:thickness val="0"/>
    </c:floor>
    <c:sideWall>
      <c:thickness val="0"/>
    </c:sideWall>
    <c:backWall>
      <c:thickness val="0"/>
    </c:backWall>
    <c:plotArea>
      <c:layout/>
      <c:pie3DChart>
        <c:varyColors val="1"/>
        <c:ser>
          <c:idx val="0"/>
          <c:order val="0"/>
          <c:spPr>
            <a:ln w="31750">
              <a:solidFill>
                <a:schemeClr val="bg1"/>
              </a:solidFill>
            </a:ln>
            <a:effectLst>
              <a:outerShdw blurRad="63500" sx="102000" sy="102000" algn="ctr" rotWithShape="0">
                <a:schemeClr val="bg1">
                  <a:lumMod val="50000"/>
                  <a:alpha val="40000"/>
                </a:schemeClr>
              </a:outerShdw>
            </a:effectLst>
            <a:scene3d>
              <a:camera prst="orthographicFront"/>
              <a:lightRig rig="threePt" dir="t"/>
            </a:scene3d>
            <a:sp3d contourW="31750"/>
          </c:spPr>
          <c:explosion val="3"/>
          <c:dPt>
            <c:idx val="0"/>
            <c:bubble3D val="0"/>
            <c:spPr>
              <a:solidFill>
                <a:schemeClr val="accent1"/>
              </a:solidFill>
              <a:ln w="31750">
                <a:solidFill>
                  <a:schemeClr val="accent1">
                    <a:lumMod val="75000"/>
                  </a:schemeClr>
                </a:solidFill>
              </a:ln>
              <a:effectLst>
                <a:outerShdw blurRad="63500" sx="102000" sy="102000" algn="ctr" rotWithShape="0">
                  <a:schemeClr val="bg1">
                    <a:lumMod val="50000"/>
                    <a:alpha val="40000"/>
                  </a:schemeClr>
                </a:outerShdw>
              </a:effectLst>
              <a:scene3d>
                <a:camera prst="orthographicFront"/>
                <a:lightRig rig="threePt" dir="t"/>
              </a:scene3d>
              <a:sp3d contourW="31750"/>
            </c:spPr>
          </c:dPt>
          <c:dPt>
            <c:idx val="1"/>
            <c:bubble3D val="0"/>
            <c:spPr>
              <a:solidFill>
                <a:schemeClr val="accent2"/>
              </a:solidFill>
              <a:ln w="31750">
                <a:solidFill>
                  <a:schemeClr val="accent2">
                    <a:lumMod val="75000"/>
                  </a:schemeClr>
                </a:solidFill>
              </a:ln>
              <a:effectLst>
                <a:outerShdw blurRad="63500" sx="102000" sy="102000" algn="ctr" rotWithShape="0">
                  <a:schemeClr val="bg1">
                    <a:lumMod val="50000"/>
                    <a:alpha val="40000"/>
                  </a:schemeClr>
                </a:outerShdw>
              </a:effectLst>
              <a:scene3d>
                <a:camera prst="orthographicFront"/>
                <a:lightRig rig="threePt" dir="t"/>
              </a:scene3d>
              <a:sp3d contourW="31750"/>
            </c:spPr>
          </c:dPt>
          <c:dPt>
            <c:idx val="2"/>
            <c:bubble3D val="0"/>
            <c:spPr>
              <a:solidFill>
                <a:schemeClr val="accent3"/>
              </a:solidFill>
              <a:ln w="31750">
                <a:solidFill>
                  <a:schemeClr val="accent3">
                    <a:lumMod val="75000"/>
                  </a:schemeClr>
                </a:solidFill>
              </a:ln>
              <a:effectLst>
                <a:outerShdw blurRad="63500" sx="102000" sy="102000" algn="ctr" rotWithShape="0">
                  <a:schemeClr val="bg1">
                    <a:lumMod val="50000"/>
                    <a:alpha val="40000"/>
                  </a:schemeClr>
                </a:outerShdw>
              </a:effectLst>
              <a:scene3d>
                <a:camera prst="orthographicFront"/>
                <a:lightRig rig="threePt" dir="t"/>
              </a:scene3d>
              <a:sp3d contourW="31750"/>
            </c:spPr>
          </c:dPt>
          <c:dPt>
            <c:idx val="3"/>
            <c:bubble3D val="0"/>
            <c:spPr>
              <a:ln w="31750">
                <a:solidFill>
                  <a:schemeClr val="accent4">
                    <a:lumMod val="75000"/>
                  </a:schemeClr>
                </a:solidFill>
              </a:ln>
              <a:effectLst>
                <a:outerShdw blurRad="63500" sx="102000" sy="102000" algn="ctr" rotWithShape="0">
                  <a:schemeClr val="bg1">
                    <a:lumMod val="50000"/>
                    <a:alpha val="40000"/>
                  </a:schemeClr>
                </a:outerShdw>
              </a:effectLst>
              <a:scene3d>
                <a:camera prst="orthographicFront"/>
                <a:lightRig rig="threePt" dir="t"/>
              </a:scene3d>
              <a:sp3d contourW="31750"/>
            </c:spPr>
          </c:dPt>
          <c:dPt>
            <c:idx val="4"/>
            <c:bubble3D val="0"/>
            <c:spPr>
              <a:ln w="31750">
                <a:solidFill>
                  <a:schemeClr val="accent5">
                    <a:lumMod val="75000"/>
                  </a:schemeClr>
                </a:solidFill>
              </a:ln>
              <a:effectLst>
                <a:outerShdw blurRad="63500" sx="102000" sy="102000" algn="ctr" rotWithShape="0">
                  <a:schemeClr val="bg1">
                    <a:lumMod val="50000"/>
                    <a:alpha val="40000"/>
                  </a:schemeClr>
                </a:outerShdw>
              </a:effectLst>
              <a:scene3d>
                <a:camera prst="orthographicFront"/>
                <a:lightRig rig="threePt" dir="t"/>
              </a:scene3d>
              <a:sp3d contourW="31750"/>
            </c:spPr>
          </c:dPt>
          <c:dLbls>
            <c:dLbl>
              <c:idx val="0"/>
              <c:layout/>
              <c:numFmt formatCode="General" sourceLinked="1"/>
              <c:spPr>
                <a:noFill/>
                <a:ln>
                  <a:noFill/>
                </a:ln>
                <a:effectLst/>
              </c:spPr>
              <c:txPr>
                <a:bodyPr rot="0" spcFirstLastPara="0" vertOverflow="ellipsis" vert="horz" wrap="square" lIns="38100" tIns="19050" rIns="38100" bIns="19050" anchor="ctr" anchorCtr="1" forceAA="0"/>
                <a:lstStyle/>
                <a:p>
                  <a:pPr>
                    <a:defRPr lang="zh-CN" sz="1200" b="1" i="0" u="none" strike="noStrike" kern="1200" baseline="0">
                      <a:solidFill>
                        <a:schemeClr val="bg1"/>
                      </a:solidFill>
                      <a:effectLst>
                        <a:outerShdw blurRad="50800" dist="38100" dir="2700000" algn="tl" rotWithShape="0">
                          <a:schemeClr val="accent1">
                            <a:lumMod val="50000"/>
                            <a:alpha val="70000"/>
                          </a:schemeClr>
                        </a:outerShdw>
                      </a:effectLst>
                      <a:latin typeface="+mn-lt"/>
                      <a:ea typeface="+mn-ea"/>
                      <a:cs typeface="+mn-cs"/>
                    </a:defRPr>
                  </a:pPr>
                </a:p>
              </c:txPr>
              <c:dLblPos val="inEnd"/>
              <c:showLegendKey val="0"/>
              <c:showVal val="0"/>
              <c:showCatName val="0"/>
              <c:showSerName val="0"/>
              <c:showPercent val="1"/>
              <c:showBubbleSize val="0"/>
              <c:extLst>
                <c:ext xmlns:c15="http://schemas.microsoft.com/office/drawing/2012/chart" uri="{CE6537A1-D6FC-4f65-9D91-7224C49458BB}"/>
              </c:extLst>
            </c:dLbl>
            <c:dLbl>
              <c:idx val="1"/>
              <c:layout/>
              <c:numFmt formatCode="General" sourceLinked="1"/>
              <c:spPr>
                <a:noFill/>
                <a:ln>
                  <a:noFill/>
                </a:ln>
                <a:effectLst/>
              </c:spPr>
              <c:txPr>
                <a:bodyPr rot="0" spcFirstLastPara="0" vertOverflow="ellipsis" vert="horz" wrap="square" lIns="38100" tIns="19050" rIns="38100" bIns="19050" anchor="ctr" anchorCtr="1" forceAA="0"/>
                <a:lstStyle/>
                <a:p>
                  <a:pPr>
                    <a:defRPr lang="zh-CN" sz="1200" b="1" i="0" u="none" strike="noStrike" kern="1200" baseline="0">
                      <a:solidFill>
                        <a:schemeClr val="bg1"/>
                      </a:solidFill>
                      <a:effectLst>
                        <a:outerShdw blurRad="50800" dist="38100" dir="2700000" algn="tl" rotWithShape="0">
                          <a:schemeClr val="accent2">
                            <a:lumMod val="50000"/>
                            <a:alpha val="70000"/>
                          </a:schemeClr>
                        </a:outerShdw>
                      </a:effectLst>
                      <a:latin typeface="+mn-lt"/>
                      <a:ea typeface="+mn-ea"/>
                      <a:cs typeface="+mn-cs"/>
                    </a:defRPr>
                  </a:pPr>
                </a:p>
              </c:txPr>
              <c:dLblPos val="inEnd"/>
              <c:showLegendKey val="0"/>
              <c:showVal val="0"/>
              <c:showCatName val="0"/>
              <c:showSerName val="0"/>
              <c:showPercent val="1"/>
              <c:showBubbleSize val="0"/>
              <c:extLst>
                <c:ext xmlns:c15="http://schemas.microsoft.com/office/drawing/2012/chart" uri="{CE6537A1-D6FC-4f65-9D91-7224C49458BB}"/>
              </c:extLst>
            </c:dLbl>
            <c:dLbl>
              <c:idx val="2"/>
              <c:layout/>
              <c:numFmt formatCode="General" sourceLinked="1"/>
              <c:spPr>
                <a:noFill/>
                <a:ln>
                  <a:noFill/>
                </a:ln>
                <a:effectLst/>
              </c:spPr>
              <c:txPr>
                <a:bodyPr rot="0" spcFirstLastPara="0" vertOverflow="ellipsis" vert="horz" wrap="square" lIns="38100" tIns="19050" rIns="38100" bIns="19050" anchor="ctr" anchorCtr="1" forceAA="0"/>
                <a:lstStyle/>
                <a:p>
                  <a:pPr>
                    <a:defRPr lang="zh-CN" sz="1200" b="1" i="0" u="none" strike="noStrike" kern="1200" baseline="0">
                      <a:solidFill>
                        <a:schemeClr val="bg1"/>
                      </a:solidFill>
                      <a:effectLst>
                        <a:outerShdw blurRad="50800" dist="38100" dir="2700000" algn="tl" rotWithShape="0">
                          <a:schemeClr val="accent3">
                            <a:lumMod val="50000"/>
                            <a:alpha val="70000"/>
                          </a:schemeClr>
                        </a:outerShdw>
                      </a:effectLst>
                      <a:latin typeface="+mn-lt"/>
                      <a:ea typeface="+mn-ea"/>
                      <a:cs typeface="+mn-cs"/>
                    </a:defRPr>
                  </a:pPr>
                </a:p>
              </c:txPr>
              <c:dLblPos val="inEnd"/>
              <c:showLegendKey val="0"/>
              <c:showVal val="0"/>
              <c:showCatName val="0"/>
              <c:showSerName val="0"/>
              <c:showPercent val="1"/>
              <c:showBubbleSize val="0"/>
              <c:extLst>
                <c:ext xmlns:c15="http://schemas.microsoft.com/office/drawing/2012/chart" uri="{CE6537A1-D6FC-4f65-9D91-7224C49458BB}"/>
              </c:extLst>
            </c:dLbl>
            <c:numFmt formatCode="General" sourceLinked="1"/>
            <c:spPr>
              <a:noFill/>
              <a:ln>
                <a:noFill/>
              </a:ln>
              <a:effectLst/>
            </c:spPr>
            <c:txPr>
              <a:bodyPr rot="0" spcFirstLastPara="0" vertOverflow="ellipsis" vert="horz" wrap="square" lIns="38100" tIns="19050" rIns="38100" bIns="19050" anchor="ctr" anchorCtr="1" forceAA="0"/>
              <a:lstStyle/>
              <a:p>
                <a:pPr>
                  <a:defRPr lang="zh-CN" sz="1200" b="1" i="0" u="none" strike="noStrike" kern="1200" baseline="0">
                    <a:solidFill>
                      <a:schemeClr val="bg1"/>
                    </a:solidFill>
                    <a:effectLst>
                      <a:outerShdw blurRad="50800" dist="38100" dir="2700000" algn="tl" rotWithShape="0">
                        <a:prstClr val="black">
                          <a:alpha val="40000"/>
                        </a:prstClr>
                      </a:outerShdw>
                    </a:effectLst>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[工作簿2.xlsx]Sheet2!$A$2:$A$6</c:f>
              <c:strCache>
                <c:ptCount val="5"/>
                <c:pt idx="0">
                  <c:v>予以公开</c:v>
                </c:pt>
                <c:pt idx="1">
                  <c:v>不予公开</c:v>
                </c:pt>
                <c:pt idx="2">
                  <c:v>无法提供</c:v>
                </c:pt>
                <c:pt idx="3">
                  <c:v>不予处理</c:v>
                </c:pt>
                <c:pt idx="4">
                  <c:v>其他</c:v>
                </c:pt>
              </c:strCache>
            </c:strRef>
          </c:cat>
          <c:val>
            <c:numRef>
              <c:f>[工作簿2.xlsx]Sheet2!$B$2:$B$6</c:f>
              <c:numCache>
                <c:formatCode>General</c:formatCode>
                <c:ptCount val="5"/>
                <c:pt idx="0">
                  <c:v>3</c:v>
                </c:pt>
                <c:pt idx="1">
                  <c:v>4</c:v>
                </c:pt>
                <c:pt idx="2">
                  <c:v>12</c:v>
                </c:pt>
                <c:pt idx="3">
                  <c:v>1</c:v>
                </c:pt>
                <c:pt idx="4">
                  <c:v>8</c:v>
                </c:pt>
              </c:numCache>
            </c:numRef>
          </c:val>
        </c:ser>
        <c:dLbls>
          <c:showLegendKey val="0"/>
          <c:showVal val="0"/>
          <c:showCatName val="0"/>
          <c:showSerName val="0"/>
          <c:showPercent val="1"/>
          <c:showBubbleSize val="0"/>
        </c:dLbls>
      </c:pie3DChart>
      <c:spPr>
        <a:noFill/>
        <a:ln>
          <a:noFill/>
        </a:ln>
        <a:effectLst/>
      </c:spPr>
    </c:plotArea>
    <c:legend>
      <c:legendPos val="r"/>
      <c:layout/>
      <c:overlay val="0"/>
      <c:spPr>
        <a:noFill/>
        <a:ln>
          <a:noFill/>
        </a:ln>
        <a:effectLst/>
      </c:spPr>
      <c:txPr>
        <a:bodyPr rot="0" spcFirstLastPara="0" vertOverflow="ellipsis" vert="horz" wrap="square" anchor="ctr" anchorCtr="1" forceAA="0"/>
        <a:lstStyle/>
        <a:p>
          <a:pPr>
            <a:defRPr lang="zh-CN" sz="900" b="0" i="0" u="none" strike="noStrike" kern="1200" baseline="0">
              <a:solidFill>
                <a:schemeClr val="tx1">
                  <a:lumMod val="50000"/>
                  <a:lumOff val="50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bg1">
          <a:lumMod val="85000"/>
        </a:schemeClr>
      </a:solidFill>
      <a:prstDash val="solid"/>
      <a:round/>
    </a:ln>
    <a:effectLst>
      <a:outerShdw blurRad="63500" dist="37357" dir="2700000" sx="0" sy="0" rotWithShape="0">
        <a:scrgbClr r="0" g="0" b="0"/>
      </a:outerShdw>
    </a:effectLst>
    <a:scene3d>
      <a:camera prst="orthographicFront"/>
      <a:lightRig rig="threePt" dir="t"/>
    </a:scene3d>
    <a:sp3d prstMaterial="fla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680" b="1" i="0" u="none" strike="noStrike" kern="1200" baseline="0">
                <a:solidFill>
                  <a:schemeClr val="tx1">
                    <a:lumMod val="75000"/>
                    <a:lumOff val="25000"/>
                  </a:schemeClr>
                </a:solidFill>
                <a:latin typeface="仿宋_GB2312" panose="02010609030101010101" charset="-122"/>
                <a:ea typeface="仿宋_GB2312" panose="02010609030101010101" charset="-122"/>
                <a:cs typeface="仿宋_GB2312" panose="02010609030101010101" charset="-122"/>
                <a:sym typeface="仿宋_GB2312" panose="02010609030101010101" charset="-122"/>
              </a:defRPr>
            </a:pPr>
            <a:r>
              <a:rPr sz="1680" b="0">
                <a:latin typeface="微软雅黑" panose="020B0503020204020204" charset="-122"/>
                <a:ea typeface="微软雅黑" panose="020B0503020204020204" charset="-122"/>
                <a:cs typeface="仿宋_GB2312" panose="02010609030101010101" charset="-122"/>
                <a:sym typeface="仿宋_GB2312" panose="02010609030101010101" charset="-122"/>
              </a:rPr>
              <a:t>公众号数据年度对比图</a:t>
            </a:r>
            <a:endParaRPr sz="1680" b="0">
              <a:latin typeface="微软雅黑" panose="020B0503020204020204" charset="-122"/>
              <a:ea typeface="微软雅黑" panose="020B0503020204020204" charset="-122"/>
              <a:cs typeface="仿宋_GB2312" panose="02010609030101010101" charset="-122"/>
              <a:sym typeface="仿宋_GB2312" panose="02010609030101010101" charset="-122"/>
            </a:endParaRPr>
          </a:p>
        </c:rich>
      </c:tx>
      <c:layout/>
      <c:overlay val="0"/>
      <c:spPr>
        <a:noFill/>
        <a:ln>
          <a:noFill/>
        </a:ln>
        <a:effectLst/>
      </c:spPr>
    </c:title>
    <c:autoTitleDeleted val="0"/>
    <c:plotArea>
      <c:layout/>
      <c:barChart>
        <c:barDir val="bar"/>
        <c:grouping val="clustered"/>
        <c:varyColors val="0"/>
        <c:ser>
          <c:idx val="0"/>
          <c:order val="0"/>
          <c:tx>
            <c:strRef>
              <c:f>[工作簿2.xlsx]Sheet3!$A$2</c:f>
              <c:strCache>
                <c:ptCount val="1"/>
                <c:pt idx="0">
                  <c:v>2022年</c:v>
                </c:pt>
              </c:strCache>
            </c:strRef>
          </c:tx>
          <c:spPr>
            <a:solidFill>
              <a:schemeClr val="accent1"/>
            </a:solidFill>
            <a:ln>
              <a:noFill/>
            </a:ln>
            <a:effectLst/>
          </c:spPr>
          <c:invertIfNegative val="0"/>
          <c:dLbls>
            <c:delete val="1"/>
          </c:dLbls>
          <c:cat>
            <c:strRef>
              <c:f>[工作簿2.xlsx]Sheet3!$B$1:$C$1</c:f>
              <c:strCache>
                <c:ptCount val="2"/>
                <c:pt idx="0">
                  <c:v>订阅人数</c:v>
                </c:pt>
                <c:pt idx="1">
                  <c:v>累计阅读量</c:v>
                </c:pt>
              </c:strCache>
            </c:strRef>
          </c:cat>
          <c:val>
            <c:numRef>
              <c:f>[工作簿2.xlsx]Sheet3!$B$2:$C$2</c:f>
              <c:numCache>
                <c:formatCode>General</c:formatCode>
                <c:ptCount val="2"/>
                <c:pt idx="0">
                  <c:v>13.15</c:v>
                </c:pt>
                <c:pt idx="1">
                  <c:v>562.14</c:v>
                </c:pt>
              </c:numCache>
            </c:numRef>
          </c:val>
        </c:ser>
        <c:ser>
          <c:idx val="1"/>
          <c:order val="1"/>
          <c:tx>
            <c:strRef>
              <c:f>[工作簿2.xlsx]Sheet3!$A$3</c:f>
              <c:strCache>
                <c:ptCount val="1"/>
                <c:pt idx="0">
                  <c:v>2023年</c:v>
                </c:pt>
              </c:strCache>
            </c:strRef>
          </c:tx>
          <c:spPr>
            <a:solidFill>
              <a:schemeClr val="accent2"/>
            </a:solidFill>
            <a:ln>
              <a:noFill/>
            </a:ln>
            <a:effectLst/>
          </c:spPr>
          <c:invertIfNegative val="0"/>
          <c:dLbls>
            <c:delete val="1"/>
          </c:dLbls>
          <c:cat>
            <c:strRef>
              <c:f>[工作簿2.xlsx]Sheet3!$B$1:$C$1</c:f>
              <c:strCache>
                <c:ptCount val="2"/>
                <c:pt idx="0">
                  <c:v>订阅人数</c:v>
                </c:pt>
                <c:pt idx="1">
                  <c:v>累计阅读量</c:v>
                </c:pt>
              </c:strCache>
            </c:strRef>
          </c:cat>
          <c:val>
            <c:numRef>
              <c:f>[工作簿2.xlsx]Sheet3!$B$3:$C$3</c:f>
              <c:numCache>
                <c:formatCode>General</c:formatCode>
                <c:ptCount val="2"/>
                <c:pt idx="0">
                  <c:v>16.45</c:v>
                </c:pt>
                <c:pt idx="1">
                  <c:v>661.79</c:v>
                </c:pt>
              </c:numCache>
            </c:numRef>
          </c:val>
        </c:ser>
        <c:dLbls>
          <c:showLegendKey val="0"/>
          <c:showVal val="0"/>
          <c:showCatName val="0"/>
          <c:showSerName val="0"/>
          <c:showPercent val="0"/>
          <c:showBubbleSize val="0"/>
        </c:dLbls>
        <c:gapWidth val="140"/>
        <c:overlap val="-40"/>
        <c:axId val="337365072"/>
        <c:axId val="57538050"/>
      </c:barChart>
      <c:catAx>
        <c:axId val="337365072"/>
        <c:scaling>
          <c:orientation val="minMax"/>
        </c:scaling>
        <c:delete val="0"/>
        <c:axPos val="l"/>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1400" b="0" i="0" u="none" strike="noStrike" kern="1200" baseline="0">
                <a:solidFill>
                  <a:schemeClr val="tx1">
                    <a:lumMod val="65000"/>
                    <a:lumOff val="35000"/>
                  </a:schemeClr>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p>
        </c:txPr>
        <c:crossAx val="57538050"/>
        <c:crosses val="autoZero"/>
        <c:auto val="1"/>
        <c:lblAlgn val="ctr"/>
        <c:lblOffset val="100"/>
        <c:noMultiLvlLbl val="0"/>
      </c:catAx>
      <c:valAx>
        <c:axId val="57538050"/>
        <c:scaling>
          <c:orientation val="minMax"/>
        </c:scaling>
        <c:delete val="0"/>
        <c:axPos val="b"/>
        <c:majorGridlines>
          <c:spPr>
            <a:ln w="9525" cap="flat" cmpd="sng" algn="ctr">
              <a:solidFill>
                <a:schemeClr val="lt1">
                  <a:lumMod val="902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1400" b="0" i="0" u="none" strike="noStrike" kern="1200" baseline="0">
                <a:solidFill>
                  <a:schemeClr val="tx1">
                    <a:lumMod val="65000"/>
                    <a:lumOff val="35000"/>
                  </a:schemeClr>
                </a:solidFill>
                <a:latin typeface="仿宋_GB2312" panose="02010609030101010101" charset="-122"/>
                <a:ea typeface="仿宋_GB2312" panose="02010609030101010101" charset="-122"/>
                <a:cs typeface="仿宋_GB2312" panose="02010609030101010101" charset="-122"/>
                <a:sym typeface="仿宋_GB2312" panose="02010609030101010101" charset="-122"/>
              </a:defRPr>
            </a:pPr>
          </a:p>
        </c:txPr>
        <c:crossAx val="337365072"/>
        <c:crosses val="autoZero"/>
        <c:crossBetween val="between"/>
      </c:valAx>
      <c:spPr>
        <a:noFill/>
        <a:ln>
          <a:noFill/>
        </a:ln>
        <a:effectLst/>
      </c:spPr>
    </c:plotArea>
    <c:legend>
      <c:legendPos val="b"/>
      <c:legendEntry>
        <c:idx val="0"/>
        <c:txPr>
          <a:bodyPr rot="0" spcFirstLastPara="0" vertOverflow="ellipsis" vert="horz" wrap="square" anchor="ctr" anchorCtr="1"/>
          <a:lstStyle/>
          <a:p>
            <a:pPr>
              <a:defRPr lang="zh-CN" sz="1400" b="0" i="0" u="none" strike="noStrike" kern="1200" baseline="0">
                <a:solidFill>
                  <a:schemeClr val="tx1">
                    <a:lumMod val="65000"/>
                    <a:lumOff val="35000"/>
                  </a:schemeClr>
                </a:solidFill>
                <a:latin typeface="仿宋_GB2312" panose="02010609030101010101" charset="-122"/>
                <a:ea typeface="仿宋_GB2312" panose="02010609030101010101" charset="-122"/>
                <a:cs typeface="仿宋_GB2312" panose="02010609030101010101" charset="-122"/>
                <a:sym typeface="仿宋_GB2312" panose="02010609030101010101" charset="-122"/>
              </a:defRPr>
            </a:pPr>
          </a:p>
        </c:txPr>
      </c:legendEntry>
      <c:legendEntry>
        <c:idx val="1"/>
        <c:txPr>
          <a:bodyPr rot="0" spcFirstLastPara="0" vertOverflow="ellipsis" vert="horz" wrap="square" anchor="ctr" anchorCtr="1"/>
          <a:lstStyle/>
          <a:p>
            <a:pPr>
              <a:defRPr lang="zh-CN" sz="1400" b="0" i="0" u="none" strike="noStrike" kern="1200" baseline="0">
                <a:solidFill>
                  <a:schemeClr val="tx1">
                    <a:lumMod val="65000"/>
                    <a:lumOff val="35000"/>
                  </a:schemeClr>
                </a:solidFill>
                <a:latin typeface="仿宋_GB2312" panose="02010609030101010101" charset="-122"/>
                <a:ea typeface="仿宋_GB2312" panose="02010609030101010101" charset="-122"/>
                <a:cs typeface="仿宋_GB2312" panose="02010609030101010101" charset="-122"/>
                <a:sym typeface="仿宋_GB2312" panose="02010609030101010101" charset="-122"/>
              </a:defRPr>
            </a:pPr>
          </a:p>
        </c:txPr>
      </c:legendEntry>
      <c:layout/>
      <c:overlay val="0"/>
      <c:spPr>
        <a:noFill/>
        <a:ln>
          <a:noFill/>
        </a:ln>
        <a:effectLst/>
      </c:spPr>
      <c:txPr>
        <a:bodyPr rot="0" spcFirstLastPara="0" vertOverflow="ellipsis" vert="horz" wrap="square" anchor="ctr" anchorCtr="1"/>
        <a:lstStyle/>
        <a:p>
          <a:pPr>
            <a:defRPr lang="zh-CN" sz="1400" b="0" i="0" u="none" strike="noStrike" kern="1200" baseline="0">
              <a:solidFill>
                <a:schemeClr val="tx1">
                  <a:lumMod val="65000"/>
                  <a:lumOff val="35000"/>
                </a:schemeClr>
              </a:solidFill>
              <a:latin typeface="仿宋_GB2312" panose="02010609030101010101" charset="-122"/>
              <a:ea typeface="仿宋_GB2312" panose="02010609030101010101" charset="-122"/>
              <a:cs typeface="仿宋_GB2312" panose="02010609030101010101" charset="-122"/>
              <a:sym typeface="仿宋_GB2312" panose="02010609030101010101" charset="-122"/>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sz="1400">
          <a:latin typeface="仿宋_GB2312" panose="02010609030101010101" charset="-122"/>
          <a:ea typeface="仿宋_GB2312" panose="02010609030101010101" charset="-122"/>
          <a:cs typeface="仿宋_GB2312" panose="02010609030101010101" charset="-122"/>
          <a:sym typeface="仿宋_GB2312" panose="02010609030101010101" charset="-122"/>
        </a:defRPr>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10118">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10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1">
      <a:spAutoFit/>
    </cs:bodyPr>
  </cs:dataLabelCallout>
  <cs:dataPoint>
    <cs:lnRef idx="0">
      <cs:styleClr val="auto"/>
    </cs:lnRef>
    <cs:fillRef idx="1">
      <cs:styleClr val="auto"/>
    </cs:fillRef>
    <cs:effectRef idx="0"/>
    <cs:fontRef idx="minor">
      <a:schemeClr val="dk1"/>
    </cs:fontRef>
    <cs:spPr>
      <a:ln>
        <a:noFill/>
      </a:ln>
      <a:effectLst/>
    </cs:spPr>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lt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word/theme/themeOverride1.xml><?xml version="1.0" encoding="utf-8"?>
<a:themeOverride xmlns:a="http://schemas.openxmlformats.org/drawingml/2006/main">
  <a:clrScheme name="【5】">
    <a:dk1>
      <a:srgbClr val="000000"/>
    </a:dk1>
    <a:lt1>
      <a:srgbClr val="FFFFFF"/>
    </a:lt1>
    <a:dk2>
      <a:srgbClr val="0C0E1F"/>
    </a:dk2>
    <a:lt2>
      <a:srgbClr val="FEFFFF"/>
    </a:lt2>
    <a:accent1>
      <a:srgbClr val="F2B600"/>
    </a:accent1>
    <a:accent2>
      <a:srgbClr val="96CE1E"/>
    </a:accent2>
    <a:accent3>
      <a:srgbClr val="058CF5"/>
    </a:accent3>
    <a:accent4>
      <a:srgbClr val="1CC6C8"/>
    </a:accent4>
    <a:accent5>
      <a:srgbClr val="13AF67"/>
    </a:accent5>
    <a:accent6>
      <a:srgbClr val="566EFE"/>
    </a:accent6>
    <a:hlink>
      <a:srgbClr val="304FFE"/>
    </a:hlink>
    <a:folHlink>
      <a:srgbClr val="492067"/>
    </a:folHlink>
  </a:clrScheme>
  <a:fontScheme name="自定义 2">
    <a:majorFont>
      <a:latin typeface="微软雅黑"/>
      <a:ea typeface="微软雅黑"/>
      <a:cs typeface=""/>
    </a:majorFont>
    <a:minorFont>
      <a:latin typeface="微软雅黑"/>
      <a:ea typeface="微软雅黑"/>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29</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2023-12-20T07:16:00Z</dcterms:created>
  <dc:creator>凌风</dc:creator>
  <cp:lastModifiedBy>凌风</cp:lastModifiedBy>
  <dcterms:modified xsi:type="dcterms:W3CDTF">2024-01-19T09:24:34Z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6968F96710DF482FA49F02ACBF863D8F_13</vt:lpwstr>
  </property>
</Properties>
</file>