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left"/>
        <w:textAlignment w:val="auto"/>
        <w:rPr>
          <w:rFonts w:hint="eastAsia" w:ascii="黑体" w:hAnsi="黑体" w:eastAsia="黑体" w:cs="黑体"/>
          <w:color w:val="000000"/>
          <w:sz w:val="32"/>
          <w:szCs w:val="32"/>
          <w:shd w:val="clear" w:color="FFFFFF" w:fill="D9D9D9"/>
          <w:lang w:eastAsia="zh-CN" w:bidi="ar-SA"/>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z w:val="44"/>
          <w:szCs w:val="44"/>
          <w:lang w:bidi="ar-SA"/>
        </w:rPr>
      </w:pPr>
      <w:r>
        <w:rPr>
          <w:rFonts w:hint="eastAsia" w:ascii="Times New Roman" w:hAnsi="Times New Roman" w:eastAsia="方正小标宋简体" w:cs="Times New Roman"/>
          <w:color w:val="000000"/>
          <w:sz w:val="44"/>
          <w:szCs w:val="44"/>
          <w:shd w:val="clear" w:color="auto" w:fill="FFFFFF"/>
          <w:lang w:eastAsia="zh-CN" w:bidi="ar-SA"/>
        </w:rPr>
        <w:t>广州开发区国资局</w:t>
      </w:r>
      <w:r>
        <w:rPr>
          <w:rFonts w:hint="eastAsia" w:ascii="Times New Roman" w:hAnsi="Times New Roman" w:eastAsia="方正小标宋简体" w:cs="Times New Roman"/>
          <w:color w:val="000000"/>
          <w:sz w:val="44"/>
          <w:szCs w:val="44"/>
          <w:shd w:val="clear" w:color="auto" w:fill="FFFFFF"/>
          <w:lang w:val="en-US" w:eastAsia="zh-CN" w:bidi="ar-SA"/>
        </w:rPr>
        <w:t>2023年度</w:t>
      </w:r>
      <w:r>
        <w:rPr>
          <w:rFonts w:hint="default" w:ascii="Times New Roman" w:hAnsi="Times New Roman" w:eastAsia="方正小标宋简体" w:cs="Times New Roman"/>
          <w:color w:val="000000"/>
          <w:sz w:val="44"/>
          <w:szCs w:val="44"/>
          <w:shd w:val="clear" w:color="auto" w:fill="FFFFFF"/>
          <w:lang w:bidi="ar-SA"/>
        </w:rPr>
        <w:t>政府信息公开工作年度报告</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20"/>
        <w:jc w:val="both"/>
        <w:textAlignment w:val="auto"/>
        <w:rPr>
          <w:rFonts w:hint="default" w:ascii="Times New Roman" w:hAnsi="Times New Roman" w:eastAsia="仿宋_GB2312" w:cs="Times New Roman"/>
          <w:color w:val="000000"/>
          <w:sz w:val="32"/>
          <w:szCs w:val="19"/>
          <w:lang w:bidi="ar-SA"/>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一、总体情况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color w:val="000000"/>
          <w:sz w:val="32"/>
          <w:szCs w:val="19"/>
          <w:shd w:val="clear" w:color="auto" w:fill="FFFFFF"/>
          <w:lang w:eastAsia="zh-CN" w:bidi="ar-SA"/>
        </w:rPr>
      </w:pPr>
      <w:r>
        <w:rPr>
          <w:rFonts w:hint="default" w:ascii="Times New Roman" w:hAnsi="Times New Roman" w:eastAsia="仿宋_GB2312" w:cs="Times New Roman"/>
          <w:color w:val="000000"/>
          <w:sz w:val="32"/>
          <w:szCs w:val="19"/>
          <w:shd w:val="clear" w:color="auto" w:fill="FFFFFF"/>
          <w:lang w:bidi="ar-SA"/>
        </w:rPr>
        <w:t>（一）主动公开情况。运用广东省政府网站集约化平台，全年主动发布</w:t>
      </w:r>
      <w:r>
        <w:rPr>
          <w:rFonts w:hint="eastAsia" w:ascii="Times New Roman" w:hAnsi="Times New Roman" w:eastAsia="仿宋_GB2312" w:cs="Times New Roman"/>
          <w:color w:val="000000"/>
          <w:sz w:val="32"/>
          <w:szCs w:val="19"/>
          <w:shd w:val="clear" w:color="auto" w:fill="FFFFFF"/>
          <w:lang w:eastAsia="zh-CN" w:bidi="ar-SA"/>
        </w:rPr>
        <w:t>各类</w:t>
      </w:r>
      <w:r>
        <w:rPr>
          <w:rFonts w:hint="default" w:ascii="Times New Roman" w:hAnsi="Times New Roman" w:eastAsia="仿宋_GB2312" w:cs="Times New Roman"/>
          <w:color w:val="000000"/>
          <w:sz w:val="32"/>
          <w:szCs w:val="19"/>
          <w:shd w:val="clear" w:color="auto" w:fill="FFFFFF"/>
          <w:lang w:bidi="ar-SA"/>
        </w:rPr>
        <w:t>信息</w:t>
      </w:r>
      <w:r>
        <w:rPr>
          <w:rFonts w:hint="eastAsia" w:ascii="Times New Roman" w:hAnsi="Times New Roman" w:eastAsia="仿宋_GB2312" w:cs="Times New Roman"/>
          <w:color w:val="000000"/>
          <w:sz w:val="32"/>
          <w:szCs w:val="19"/>
          <w:shd w:val="clear" w:color="auto" w:fill="FFFFFF"/>
          <w:lang w:val="en-US" w:eastAsia="zh-CN" w:bidi="ar-SA"/>
        </w:rPr>
        <w:t>70</w:t>
      </w:r>
      <w:r>
        <w:rPr>
          <w:rFonts w:hint="default" w:ascii="Times New Roman" w:hAnsi="Times New Roman" w:eastAsia="仿宋_GB2312" w:cs="Times New Roman"/>
          <w:color w:val="000000"/>
          <w:sz w:val="32"/>
          <w:szCs w:val="19"/>
          <w:shd w:val="clear" w:color="auto" w:fill="FFFFFF"/>
          <w:lang w:bidi="ar-SA"/>
        </w:rPr>
        <w:t>条，其中：组织机构类信息3条；部门文件类信息23条；工作动态类信息</w:t>
      </w:r>
      <w:r>
        <w:rPr>
          <w:rFonts w:hint="eastAsia" w:ascii="Times New Roman" w:hAnsi="Times New Roman" w:eastAsia="仿宋_GB2312" w:cs="Times New Roman"/>
          <w:color w:val="000000"/>
          <w:sz w:val="32"/>
          <w:szCs w:val="19"/>
          <w:shd w:val="clear" w:color="auto" w:fill="FFFFFF"/>
          <w:lang w:val="en-US" w:eastAsia="zh-CN" w:bidi="ar-SA"/>
        </w:rPr>
        <w:t>42</w:t>
      </w:r>
      <w:r>
        <w:rPr>
          <w:rFonts w:hint="default" w:ascii="Times New Roman" w:hAnsi="Times New Roman" w:eastAsia="仿宋_GB2312" w:cs="Times New Roman"/>
          <w:color w:val="000000"/>
          <w:sz w:val="32"/>
          <w:szCs w:val="19"/>
          <w:shd w:val="clear" w:color="auto" w:fill="FFFFFF"/>
          <w:lang w:bidi="ar-SA"/>
        </w:rPr>
        <w:t>条；财政预决算类信息2条</w:t>
      </w:r>
      <w:r>
        <w:rPr>
          <w:rFonts w:hint="eastAsia" w:ascii="Times New Roman" w:hAnsi="Times New Roman" w:eastAsia="仿宋_GB2312" w:cs="Times New Roman"/>
          <w:color w:val="000000"/>
          <w:sz w:val="32"/>
          <w:szCs w:val="19"/>
          <w:shd w:val="clear" w:color="auto" w:fill="FFFFFF"/>
          <w:lang w:eastAsia="zh-CN" w:bidi="ar-SA"/>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color w:val="000000"/>
          <w:sz w:val="32"/>
          <w:szCs w:val="19"/>
          <w:shd w:val="clear" w:color="auto" w:fill="FFFFFF"/>
          <w:lang w:eastAsia="zh-CN" w:bidi="ar-SA"/>
        </w:rPr>
      </w:pPr>
      <w:r>
        <w:rPr>
          <w:rFonts w:hint="default" w:ascii="Times New Roman" w:hAnsi="Times New Roman" w:eastAsia="仿宋_GB2312" w:cs="Times New Roman"/>
          <w:color w:val="000000"/>
          <w:sz w:val="32"/>
          <w:szCs w:val="19"/>
          <w:shd w:val="clear" w:color="auto" w:fill="FFFFFF"/>
          <w:lang w:bidi="ar-SA"/>
        </w:rPr>
        <w:t>（二）依申请公开情况。全年共受理信息公开申请</w:t>
      </w:r>
      <w:r>
        <w:rPr>
          <w:rFonts w:hint="eastAsia" w:ascii="Times New Roman" w:hAnsi="Times New Roman" w:eastAsia="仿宋_GB2312" w:cs="Times New Roman"/>
          <w:color w:val="000000"/>
          <w:sz w:val="32"/>
          <w:szCs w:val="19"/>
          <w:shd w:val="clear" w:color="auto" w:fill="FFFFFF"/>
          <w:lang w:val="en-US" w:eastAsia="zh-CN" w:bidi="ar-SA"/>
        </w:rPr>
        <w:t>1</w:t>
      </w:r>
      <w:r>
        <w:rPr>
          <w:rFonts w:hint="default" w:ascii="Times New Roman" w:hAnsi="Times New Roman" w:eastAsia="仿宋_GB2312" w:cs="Times New Roman"/>
          <w:color w:val="000000"/>
          <w:sz w:val="32"/>
          <w:szCs w:val="19"/>
          <w:shd w:val="clear" w:color="auto" w:fill="FFFFFF"/>
          <w:lang w:bidi="ar-SA"/>
        </w:rPr>
        <w:t>件，办结</w:t>
      </w:r>
      <w:r>
        <w:rPr>
          <w:rFonts w:hint="eastAsia" w:ascii="Times New Roman" w:hAnsi="Times New Roman" w:eastAsia="仿宋_GB2312" w:cs="Times New Roman"/>
          <w:color w:val="000000"/>
          <w:sz w:val="32"/>
          <w:szCs w:val="19"/>
          <w:shd w:val="clear" w:color="auto" w:fill="FFFFFF"/>
          <w:lang w:val="en-US" w:eastAsia="zh-CN" w:bidi="ar-SA"/>
        </w:rPr>
        <w:t>1</w:t>
      </w:r>
      <w:r>
        <w:rPr>
          <w:rFonts w:hint="default" w:ascii="Times New Roman" w:hAnsi="Times New Roman" w:eastAsia="仿宋_GB2312" w:cs="Times New Roman"/>
          <w:color w:val="000000"/>
          <w:sz w:val="32"/>
          <w:szCs w:val="19"/>
          <w:shd w:val="clear" w:color="auto" w:fill="FFFFFF"/>
          <w:lang w:bidi="ar-SA"/>
        </w:rPr>
        <w:t>件，其中：“本机关不掌握相关政府信息”1件，发生针对本单位有关政府信息公开事务的行政复议案和行政诉讼案均为0件</w:t>
      </w:r>
      <w:r>
        <w:rPr>
          <w:rFonts w:hint="eastAsia" w:ascii="Times New Roman" w:hAnsi="Times New Roman" w:eastAsia="仿宋_GB2312" w:cs="Times New Roman"/>
          <w:color w:val="000000"/>
          <w:sz w:val="32"/>
          <w:szCs w:val="19"/>
          <w:shd w:val="clear" w:color="auto" w:fill="FFFFFF"/>
          <w:lang w:eastAsia="zh-CN" w:bidi="ar-SA"/>
        </w:rPr>
        <w:t>，办理过程中局常年法律顾问全程参与，确保程序内容合法合规；组织各业务科室集中学习广州市政府信息依申请公开工作指引及相关文件汇编，不断提升依申请公开工作实效。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（三）政府信息管理情况。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color w:val="000000"/>
          <w:sz w:val="32"/>
          <w:szCs w:val="19"/>
          <w:shd w:val="clear" w:color="auto" w:fill="FFFFFF"/>
          <w:lang w:eastAsia="zh-CN" w:bidi="ar-SA"/>
        </w:rPr>
      </w:pPr>
      <w:r>
        <w:rPr>
          <w:rFonts w:hint="default" w:ascii="Times New Roman" w:hAnsi="Times New Roman" w:eastAsia="仿宋_GB2312" w:cs="Times New Roman"/>
          <w:color w:val="000000"/>
          <w:sz w:val="32"/>
          <w:szCs w:val="19"/>
          <w:shd w:val="clear" w:color="auto" w:fill="FFFFFF"/>
          <w:lang w:bidi="ar-SA"/>
        </w:rPr>
        <w:t>增强规范意识，坚持先审后发原则，严格落实公开审查、保密审查，确保信息公开及时完整准确</w:t>
      </w:r>
      <w:r>
        <w:rPr>
          <w:rFonts w:hint="eastAsia" w:ascii="Times New Roman" w:hAnsi="Times New Roman" w:eastAsia="仿宋_GB2312" w:cs="Times New Roman"/>
          <w:color w:val="000000"/>
          <w:sz w:val="32"/>
          <w:szCs w:val="19"/>
          <w:shd w:val="clear" w:color="auto" w:fill="FFFFFF"/>
          <w:lang w:eastAsia="zh-CN" w:bidi="ar-SA"/>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（四）平台建设情况。区国资局未申请开通各类平台账号，未运营新媒体</w:t>
      </w:r>
      <w:r>
        <w:rPr>
          <w:rFonts w:hint="eastAsia" w:ascii="Times New Roman" w:hAnsi="Times New Roman" w:eastAsia="仿宋_GB2312" w:cs="Times New Roman"/>
          <w:color w:val="000000"/>
          <w:sz w:val="32"/>
          <w:szCs w:val="19"/>
          <w:shd w:val="clear" w:color="auto" w:fill="FFFFFF"/>
          <w:lang w:eastAsia="zh-CN" w:bidi="ar-SA"/>
        </w:rPr>
        <w:t>；积极</w:t>
      </w:r>
      <w:r>
        <w:rPr>
          <w:rFonts w:hint="default" w:ascii="Times New Roman" w:hAnsi="Times New Roman" w:eastAsia="仿宋_GB2312" w:cs="Times New Roman"/>
          <w:color w:val="000000"/>
          <w:sz w:val="32"/>
          <w:szCs w:val="19"/>
          <w:shd w:val="clear" w:color="auto" w:fill="FFFFFF"/>
          <w:lang w:bidi="ar-SA"/>
        </w:rPr>
        <w:t>推进国有企业信息公开</w:t>
      </w:r>
      <w:r>
        <w:rPr>
          <w:rFonts w:hint="eastAsia" w:ascii="Times New Roman" w:hAnsi="Times New Roman" w:eastAsia="仿宋_GB2312" w:cs="Times New Roman"/>
          <w:color w:val="000000"/>
          <w:sz w:val="32"/>
          <w:szCs w:val="19"/>
          <w:shd w:val="clear" w:color="auto" w:fill="FFFFFF"/>
          <w:lang w:eastAsia="zh-CN" w:bidi="ar-SA"/>
        </w:rPr>
        <w:t>，保障</w:t>
      </w:r>
      <w:r>
        <w:rPr>
          <w:rFonts w:hint="default" w:ascii="Times New Roman" w:hAnsi="Times New Roman" w:eastAsia="仿宋_GB2312" w:cs="Times New Roman"/>
          <w:color w:val="000000"/>
          <w:sz w:val="32"/>
          <w:szCs w:val="19"/>
          <w:shd w:val="clear" w:color="auto" w:fill="FFFFFF"/>
          <w:lang w:bidi="ar-SA"/>
        </w:rPr>
        <w:t>区门户网站</w:t>
      </w:r>
      <w:r>
        <w:rPr>
          <w:rFonts w:hint="eastAsia" w:ascii="Times New Roman" w:hAnsi="Times New Roman" w:eastAsia="仿宋_GB2312" w:cs="Times New Roman"/>
          <w:color w:val="000000"/>
          <w:sz w:val="32"/>
          <w:szCs w:val="19"/>
          <w:shd w:val="clear" w:color="auto" w:fill="FFFFFF"/>
          <w:lang w:eastAsia="zh-CN" w:bidi="ar-SA"/>
        </w:rPr>
        <w:t>国有企业栏目，公开</w:t>
      </w:r>
      <w:r>
        <w:rPr>
          <w:rFonts w:hint="default" w:ascii="Times New Roman" w:hAnsi="Times New Roman" w:eastAsia="仿宋_GB2312" w:cs="Times New Roman"/>
          <w:color w:val="000000"/>
          <w:sz w:val="32"/>
          <w:szCs w:val="19"/>
          <w:shd w:val="clear" w:color="auto" w:fill="FFFFFF"/>
          <w:lang w:bidi="ar-SA"/>
        </w:rPr>
        <w:t>国企经营情况</w:t>
      </w:r>
      <w:r>
        <w:rPr>
          <w:rFonts w:hint="eastAsia" w:ascii="Times New Roman" w:hAnsi="Times New Roman" w:eastAsia="仿宋_GB2312" w:cs="Times New Roman"/>
          <w:color w:val="000000"/>
          <w:sz w:val="32"/>
          <w:szCs w:val="19"/>
          <w:shd w:val="clear" w:color="auto" w:fill="FFFFFF"/>
          <w:lang w:eastAsia="zh-CN" w:bidi="ar-SA"/>
        </w:rPr>
        <w:t>、</w:t>
      </w:r>
      <w:r>
        <w:rPr>
          <w:rFonts w:hint="eastAsia" w:ascii="Times New Roman" w:hAnsi="Times New Roman" w:eastAsia="仿宋_GB2312" w:cs="Times New Roman"/>
          <w:color w:val="000000"/>
          <w:sz w:val="32"/>
          <w:szCs w:val="19"/>
          <w:shd w:val="clear" w:color="auto" w:fill="FFFFFF"/>
          <w:lang w:eastAsia="zh-CN" w:bidi="ar-SA"/>
        </w:rPr>
        <w:fldChar w:fldCharType="begin"/>
      </w:r>
      <w:r>
        <w:rPr>
          <w:rFonts w:hint="eastAsia" w:ascii="Times New Roman" w:hAnsi="Times New Roman" w:eastAsia="仿宋_GB2312" w:cs="Times New Roman"/>
          <w:color w:val="000000"/>
          <w:sz w:val="32"/>
          <w:szCs w:val="19"/>
          <w:shd w:val="clear" w:color="auto" w:fill="FFFFFF"/>
          <w:lang w:eastAsia="zh-CN" w:bidi="ar-SA"/>
        </w:rPr>
        <w:instrText xml:space="preserve"> HYPERLINK "http://www.hp.gov.cn/hpqgzkfqzdlyzl/gyqy/qsgyqyxx/content/post_9411471.html" \o "2022年度区属国企法定代表人平均薪酬情况" \t "http://www.hp.gov.cn/hpqgzkfqzdlyzl/gyqy/_blank" </w:instrText>
      </w:r>
      <w:r>
        <w:rPr>
          <w:rFonts w:hint="eastAsia" w:ascii="Times New Roman" w:hAnsi="Times New Roman" w:eastAsia="仿宋_GB2312" w:cs="Times New Roman"/>
          <w:color w:val="000000"/>
          <w:sz w:val="32"/>
          <w:szCs w:val="19"/>
          <w:shd w:val="clear" w:color="auto" w:fill="FFFFFF"/>
          <w:lang w:eastAsia="zh-CN" w:bidi="ar-SA"/>
        </w:rPr>
        <w:fldChar w:fldCharType="separate"/>
      </w:r>
      <w:r>
        <w:rPr>
          <w:rFonts w:hint="eastAsia" w:ascii="Times New Roman" w:hAnsi="Times New Roman" w:eastAsia="仿宋_GB2312" w:cs="Times New Roman"/>
          <w:color w:val="000000"/>
          <w:sz w:val="32"/>
          <w:szCs w:val="19"/>
          <w:shd w:val="clear" w:color="auto" w:fill="FFFFFF"/>
          <w:lang w:eastAsia="zh-CN" w:bidi="ar-SA"/>
        </w:rPr>
        <w:t>法定代表人平均薪酬</w:t>
      </w:r>
      <w:r>
        <w:rPr>
          <w:rFonts w:hint="eastAsia" w:ascii="Times New Roman" w:hAnsi="Times New Roman" w:eastAsia="仿宋_GB2312" w:cs="Times New Roman"/>
          <w:color w:val="000000"/>
          <w:sz w:val="32"/>
          <w:szCs w:val="19"/>
          <w:shd w:val="clear" w:color="auto" w:fill="FFFFFF"/>
          <w:lang w:eastAsia="zh-CN" w:bidi="ar-SA"/>
        </w:rPr>
        <w:fldChar w:fldCharType="end"/>
      </w:r>
      <w:r>
        <w:rPr>
          <w:rFonts w:hint="default" w:ascii="Times New Roman" w:hAnsi="Times New Roman" w:eastAsia="仿宋_GB2312" w:cs="Times New Roman"/>
          <w:color w:val="000000"/>
          <w:sz w:val="32"/>
          <w:szCs w:val="19"/>
          <w:shd w:val="clear" w:color="auto" w:fill="FFFFFF"/>
          <w:lang w:bidi="ar-SA"/>
        </w:rPr>
        <w:t>等相关信息</w:t>
      </w:r>
      <w:r>
        <w:rPr>
          <w:rFonts w:hint="eastAsia" w:ascii="Times New Roman" w:hAnsi="Times New Roman" w:eastAsia="仿宋_GB2312" w:cs="Times New Roman"/>
          <w:color w:val="000000"/>
          <w:sz w:val="32"/>
          <w:szCs w:val="19"/>
          <w:shd w:val="clear" w:color="auto" w:fill="FFFFFF"/>
          <w:lang w:eastAsia="zh-CN" w:bidi="ar-SA"/>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（五）监督保障情况。严格执行“涉密信息不上网，上网信息不涉密”的原则</w:t>
      </w:r>
      <w:r>
        <w:rPr>
          <w:rFonts w:hint="eastAsia" w:ascii="Times New Roman" w:hAnsi="Times New Roman" w:eastAsia="仿宋_GB2312" w:cs="Times New Roman"/>
          <w:color w:val="000000"/>
          <w:sz w:val="32"/>
          <w:szCs w:val="19"/>
          <w:shd w:val="clear" w:color="auto" w:fill="FFFFFF"/>
          <w:lang w:eastAsia="zh-CN" w:bidi="ar-SA"/>
        </w:rPr>
        <w:t>，结合工作实际，开展政务公开工作自查。及时</w:t>
      </w:r>
      <w:r>
        <w:rPr>
          <w:rFonts w:hint="default" w:ascii="Times New Roman" w:hAnsi="Times New Roman" w:eastAsia="仿宋_GB2312" w:cs="Times New Roman"/>
          <w:color w:val="000000"/>
          <w:sz w:val="32"/>
          <w:szCs w:val="19"/>
          <w:shd w:val="clear" w:color="auto" w:fill="FFFFFF"/>
          <w:lang w:bidi="ar-SA"/>
        </w:rPr>
        <w:t>传达</w:t>
      </w:r>
      <w:r>
        <w:rPr>
          <w:rFonts w:hint="eastAsia" w:ascii="Times New Roman" w:hAnsi="Times New Roman" w:eastAsia="仿宋_GB2312" w:cs="Times New Roman"/>
          <w:color w:val="000000"/>
          <w:sz w:val="32"/>
          <w:szCs w:val="19"/>
          <w:shd w:val="clear" w:color="auto" w:fill="FFFFFF"/>
          <w:lang w:eastAsia="zh-CN" w:bidi="ar-SA"/>
        </w:rPr>
        <w:t>上级关于</w:t>
      </w:r>
      <w:r>
        <w:rPr>
          <w:rFonts w:hint="default" w:ascii="Times New Roman" w:hAnsi="Times New Roman" w:eastAsia="仿宋_GB2312" w:cs="Times New Roman"/>
          <w:color w:val="000000"/>
          <w:sz w:val="32"/>
          <w:szCs w:val="19"/>
          <w:shd w:val="clear" w:color="auto" w:fill="FFFFFF"/>
          <w:lang w:bidi="ar-SA"/>
        </w:rPr>
        <w:t>政务公开工作</w:t>
      </w:r>
      <w:r>
        <w:rPr>
          <w:rFonts w:hint="eastAsia" w:ascii="Times New Roman" w:hAnsi="Times New Roman" w:eastAsia="仿宋_GB2312" w:cs="Times New Roman"/>
          <w:color w:val="000000"/>
          <w:sz w:val="32"/>
          <w:szCs w:val="19"/>
          <w:shd w:val="clear" w:color="auto" w:fill="FFFFFF"/>
          <w:lang w:eastAsia="zh-CN" w:bidi="ar-SA"/>
        </w:rPr>
        <w:t>要求，局班子专题研究政务公开工作，积极组织岗位人员参加市、区开展的政务公开培训。</w:t>
      </w: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三、收到和处理政府信息公开申请情况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tc>
        <w:tc>
          <w:tcPr>
            <w:tcW w:w="6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3415"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tc>
        <w:tc>
          <w:tcPr>
            <w:tcW w:w="6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683" w:type="dxa"/>
            <w:tcBorders>
              <w:top w:val="single" w:color="auto" w:sz="8" w:space="0"/>
              <w:left w:val="single" w:color="auto" w:sz="4" w:space="0"/>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683" w:type="dxa"/>
            <w:tcBorders>
              <w:top w:val="single" w:color="auto" w:sz="8" w:space="0"/>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684" w:type="dxa"/>
            <w:vMerge w:val="continue"/>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4"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4"/>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szCs w:val="24"/>
                <w:lang w:val="en-US" w:eastAsia="zh-CN" w:bidi="ar-SA"/>
              </w:rPr>
            </w:pPr>
            <w:r>
              <w:rPr>
                <w:rFonts w:hint="eastAsia" w:ascii="Times New Roman" w:hAnsi="Times New Roman" w:cs="Times New Roman"/>
                <w:color w:val="000000"/>
                <w:sz w:val="28"/>
                <w:szCs w:val="24"/>
                <w:lang w:val="en-US" w:eastAsia="zh-CN" w:bidi="ar-SA"/>
              </w:rPr>
              <w:t>0</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四、政府信息公开行政复议、行政诉讼情况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五、存在的主要问题及改进情况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color w:val="000000"/>
          <w:sz w:val="32"/>
          <w:szCs w:val="19"/>
          <w:lang w:eastAsia="zh-CN" w:bidi="ar-SA"/>
        </w:rPr>
      </w:pPr>
      <w:r>
        <w:rPr>
          <w:rFonts w:hint="default" w:ascii="Times New Roman" w:hAnsi="Times New Roman" w:eastAsia="仿宋_GB2312" w:cs="Times New Roman"/>
          <w:color w:val="000000"/>
          <w:sz w:val="32"/>
          <w:szCs w:val="19"/>
          <w:shd w:val="clear" w:color="auto" w:fill="FFFFFF"/>
          <w:lang w:bidi="ar-SA"/>
        </w:rPr>
        <w:t>202</w:t>
      </w:r>
      <w:r>
        <w:rPr>
          <w:rFonts w:hint="eastAsia" w:ascii="Times New Roman" w:hAnsi="Times New Roman"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年，我局在政府信息公开工作方面取得一定的进展，</w:t>
      </w:r>
      <w:r>
        <w:rPr>
          <w:rFonts w:hint="eastAsia" w:ascii="Times New Roman" w:hAnsi="Times New Roman" w:eastAsia="仿宋_GB2312" w:cs="Times New Roman"/>
          <w:color w:val="000000"/>
          <w:sz w:val="32"/>
          <w:szCs w:val="19"/>
          <w:shd w:val="clear" w:color="auto" w:fill="FFFFFF"/>
          <w:lang w:eastAsia="zh-CN" w:bidi="ar-SA"/>
        </w:rPr>
        <w:t>但还存在公开内容不够及时、全面等问题和不足，下一步，我局将继续加强工作力度，严格把关信息公开内容质量，不断做好政府信息公开自查自纠工作，提高政务信息发布全面性和准确性。</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六、其他需要报告的事项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仿宋_GB2312" w:cs="Times New Roman"/>
          <w:color w:val="000000"/>
          <w:sz w:val="32"/>
          <w:szCs w:val="32"/>
          <w:lang w:eastAsia="zh-CN" w:bidi="ar-SA"/>
        </w:rPr>
      </w:pPr>
      <w:r>
        <w:rPr>
          <w:rFonts w:hint="eastAsia" w:ascii="Times New Roman" w:hAnsi="Times New Roman" w:eastAsia="仿宋_GB2312" w:cs="Times New Roman"/>
          <w:color w:val="000000"/>
          <w:sz w:val="32"/>
          <w:szCs w:val="32"/>
          <w:lang w:eastAsia="zh-CN" w:bidi="ar-SA"/>
        </w:rPr>
        <w:t>2023年，区国资局在办理依申请公开工作中未收取费用。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GY3MjY3ZTBlYjNjZDMxZGQwN2FjMzVkMDBkYmQifQ=="/>
  </w:docVars>
  <w:rsids>
    <w:rsidRoot w:val="39191009"/>
    <w:rsid w:val="011C61F4"/>
    <w:rsid w:val="050503E5"/>
    <w:rsid w:val="061B2F96"/>
    <w:rsid w:val="08202AE5"/>
    <w:rsid w:val="09907E26"/>
    <w:rsid w:val="0CB91029"/>
    <w:rsid w:val="178F5592"/>
    <w:rsid w:val="194E2C9A"/>
    <w:rsid w:val="19FA1B91"/>
    <w:rsid w:val="1A34193B"/>
    <w:rsid w:val="1D450352"/>
    <w:rsid w:val="1D5E7060"/>
    <w:rsid w:val="21C81DCC"/>
    <w:rsid w:val="27D112AE"/>
    <w:rsid w:val="2C9A25B7"/>
    <w:rsid w:val="2F14486F"/>
    <w:rsid w:val="2F146650"/>
    <w:rsid w:val="325F4087"/>
    <w:rsid w:val="33CD46BF"/>
    <w:rsid w:val="39191009"/>
    <w:rsid w:val="39932B57"/>
    <w:rsid w:val="3A9B1BBD"/>
    <w:rsid w:val="3B0A6C86"/>
    <w:rsid w:val="3B424545"/>
    <w:rsid w:val="3B9117A2"/>
    <w:rsid w:val="489932CB"/>
    <w:rsid w:val="497C6E74"/>
    <w:rsid w:val="54E3249D"/>
    <w:rsid w:val="55674E7D"/>
    <w:rsid w:val="56852DEC"/>
    <w:rsid w:val="59E45599"/>
    <w:rsid w:val="629348B5"/>
    <w:rsid w:val="64FC4E7B"/>
    <w:rsid w:val="65F04A1A"/>
    <w:rsid w:val="67925576"/>
    <w:rsid w:val="67950B86"/>
    <w:rsid w:val="738D61B6"/>
    <w:rsid w:val="78FC4523"/>
    <w:rsid w:val="7A370CE5"/>
    <w:rsid w:val="7AD61919"/>
    <w:rsid w:val="7C4F3DF1"/>
    <w:rsid w:val="7CB86DA8"/>
    <w:rsid w:val="7DBB0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autoRedefine/>
    <w:qFormat/>
    <w:uiPriority w:val="0"/>
    <w:pPr>
      <w:ind w:left="420" w:leftChars="200"/>
    </w:pPr>
  </w:style>
  <w:style w:type="paragraph" w:styleId="3">
    <w:name w:val="Normal (Web)"/>
    <w:basedOn w:val="1"/>
    <w:autoRedefine/>
    <w:qFormat/>
    <w:uiPriority w:val="0"/>
    <w:pPr>
      <w:spacing w:beforeAutospacing="1" w:afterAutospacing="1"/>
      <w:jc w:val="left"/>
    </w:pPr>
    <w:rPr>
      <w:rFonts w:cs="Times New Roman"/>
      <w:kern w:val="0"/>
      <w:sz w:val="24"/>
      <w:lang w:bidi="ar-SA"/>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2024-01-09T06:24:00Z</dcterms:created>
  <dc:creator>林嘉纯</dc:creator>
  <cp:lastModifiedBy>林嘉纯</cp:lastModifiedBy>
  <dcterms:modified xsi:type="dcterms:W3CDTF">2024-01-23T08:39:11Z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30EEC8CA8AC54246A0748C6FCF891150_11</vt:lpwstr>
  </property>
</Properties>
</file>