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jc w:val="center"/>
        <w:textAlignment w:val="auto"/>
        <w:rPr>
          <w:rFonts w:hint="default" w:ascii="Times New Roman" w:hAnsi="Times New Roman" w:eastAsia="方正小标宋简体" w:cs="Times New Roman"/>
          <w:color w:val="000000"/>
          <w:sz w:val="44"/>
          <w:szCs w:val="44"/>
          <w:lang w:bidi="ar-SA"/>
        </w:rPr>
      </w:pPr>
      <w:r>
        <w:rPr>
          <w:rFonts w:hint="eastAsia" w:ascii="Times New Roman" w:hAnsi="Times New Roman" w:eastAsia="方正小标宋简体" w:cs="Times New Roman"/>
          <w:color w:val="000000"/>
          <w:sz w:val="44"/>
          <w:szCs w:val="44"/>
          <w:shd w:val="clear" w:color="auto" w:fill="FFFFFF"/>
          <w:lang w:val="en-US" w:eastAsia="zh-CN" w:bidi="ar-SA"/>
        </w:rPr>
        <w:t>广州开发区知识产权局2023年</w:t>
      </w:r>
      <w:r>
        <w:rPr>
          <w:rFonts w:hint="default" w:ascii="Times New Roman" w:hAnsi="Times New Roman" w:eastAsia="方正小标宋简体" w:cs="Times New Roman"/>
          <w:color w:val="000000"/>
          <w:sz w:val="44"/>
          <w:szCs w:val="44"/>
          <w:shd w:val="clear" w:color="auto" w:fill="FFFFFF"/>
          <w:lang w:bidi="ar-SA"/>
        </w:rPr>
        <w:t>政府信息公开工作年度报告</w:t>
      </w:r>
    </w:p>
    <w:p>
      <w:pPr>
        <w:pStyle w:val="3"/>
        <w:widowControl/>
        <w:shd w:val="clear" w:color="auto" w:fill="FFFFFF"/>
        <w:spacing w:beforeAutospacing="0" w:afterAutospacing="0"/>
        <w:ind w:firstLine="420"/>
        <w:jc w:val="both"/>
        <w:rPr>
          <w:rFonts w:hint="default" w:ascii="Times New Roman" w:hAnsi="Times New Roman" w:eastAsia="仿宋_GB2312" w:cs="Times New Roman"/>
          <w:color w:val="000000"/>
          <w:sz w:val="32"/>
          <w:szCs w:val="19"/>
          <w:lang w:bidi="ar-SA"/>
        </w:rPr>
      </w:pP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一、总体情况</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202</w:t>
      </w:r>
      <w:r>
        <w:rPr>
          <w:rFonts w:hint="eastAsia" w:ascii="Times New Roman" w:hAnsi="Times New Roman"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年，广州开发区知识产权局认真落实党中央、国务院和省委、省政府关于全面推进政务公开工作的系列部署，坚持统筹兼顾、突出重点，扎实推进新时代政务公开工作，持续提升政务公开标准化、规范化水平，进一步扩大政务公开引导、服务、监督以及促进经济社会发展的功能效应，加快政府职能转变和透明政府建设。</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eastAsia" w:ascii="Times New Roman" w:hAnsi="Times New Roman" w:eastAsia="仿宋_GB2312" w:cs="Times New Roman"/>
          <w:color w:val="000000"/>
          <w:sz w:val="32"/>
          <w:szCs w:val="19"/>
          <w:shd w:val="clear" w:color="auto" w:fill="FFFFFF"/>
          <w:lang w:eastAsia="zh-CN" w:bidi="ar-SA"/>
        </w:rPr>
        <w:t>（</w:t>
      </w:r>
      <w:r>
        <w:rPr>
          <w:rFonts w:hint="default" w:ascii="Times New Roman" w:hAnsi="Times New Roman" w:eastAsia="仿宋_GB2312" w:cs="Times New Roman"/>
          <w:color w:val="000000"/>
          <w:sz w:val="32"/>
          <w:szCs w:val="19"/>
          <w:shd w:val="clear" w:color="auto" w:fill="FFFFFF"/>
          <w:lang w:bidi="ar-SA"/>
        </w:rPr>
        <w:t>一）政府信息主动公开情况</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202</w:t>
      </w:r>
      <w:r>
        <w:rPr>
          <w:rFonts w:hint="eastAsia" w:ascii="Times New Roman" w:hAnsi="Times New Roman"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年</w:t>
      </w:r>
      <w:r>
        <w:rPr>
          <w:rFonts w:hint="eastAsia" w:ascii="Times New Roman" w:hAnsi="Times New Roman" w:eastAsia="仿宋_GB2312" w:cs="Times New Roman"/>
          <w:color w:val="000000"/>
          <w:sz w:val="32"/>
          <w:szCs w:val="19"/>
          <w:shd w:val="clear" w:color="auto" w:fill="FFFFFF"/>
          <w:lang w:val="en-US" w:eastAsia="zh-CN" w:bidi="ar-SA"/>
        </w:rPr>
        <w:t>我局</w:t>
      </w:r>
      <w:r>
        <w:rPr>
          <w:rFonts w:hint="default" w:ascii="Times New Roman" w:hAnsi="Times New Roman" w:eastAsia="仿宋_GB2312" w:cs="Times New Roman"/>
          <w:color w:val="000000"/>
          <w:sz w:val="32"/>
          <w:szCs w:val="19"/>
          <w:shd w:val="clear" w:color="auto" w:fill="FFFFFF"/>
          <w:lang w:bidi="ar-SA"/>
        </w:rPr>
        <w:t>主动公开政府信息</w:t>
      </w:r>
      <w:r>
        <w:rPr>
          <w:rFonts w:hint="eastAsia" w:ascii="Times New Roman" w:hAnsi="Times New Roman" w:eastAsia="仿宋_GB2312" w:cs="Times New Roman"/>
          <w:color w:val="000000"/>
          <w:sz w:val="32"/>
          <w:szCs w:val="19"/>
          <w:highlight w:val="none"/>
          <w:shd w:val="clear" w:color="auto" w:fill="FFFFFF"/>
          <w:lang w:val="en-US" w:eastAsia="zh-CN" w:bidi="ar-SA"/>
        </w:rPr>
        <w:t>154</w:t>
      </w:r>
      <w:r>
        <w:rPr>
          <w:rFonts w:hint="default" w:ascii="Times New Roman" w:hAnsi="Times New Roman" w:eastAsia="仿宋_GB2312" w:cs="Times New Roman"/>
          <w:color w:val="000000"/>
          <w:sz w:val="32"/>
          <w:szCs w:val="19"/>
          <w:shd w:val="clear" w:color="auto" w:fill="FFFFFF"/>
          <w:lang w:bidi="ar-SA"/>
        </w:rPr>
        <w:t>条，其中：</w:t>
      </w:r>
      <w:r>
        <w:rPr>
          <w:rFonts w:hint="eastAsia" w:ascii="Times New Roman" w:hAnsi="Times New Roman" w:eastAsia="仿宋_GB2312" w:cs="Times New Roman"/>
          <w:color w:val="000000"/>
          <w:sz w:val="32"/>
          <w:szCs w:val="19"/>
          <w:shd w:val="clear" w:color="auto" w:fill="FFFFFF"/>
          <w:lang w:val="en-US" w:eastAsia="zh-CN" w:bidi="ar-SA"/>
        </w:rPr>
        <w:t>1.组织机构4条；2.通知公告82条；3.信息公开64条；4.信息公开目录1条；5.知识产权红色故事3条</w:t>
      </w:r>
      <w:r>
        <w:rPr>
          <w:rFonts w:hint="default" w:ascii="Times New Roman" w:hAnsi="Times New Roman" w:eastAsia="仿宋_GB2312" w:cs="Times New Roman"/>
          <w:color w:val="000000"/>
          <w:sz w:val="32"/>
          <w:szCs w:val="19"/>
          <w:highlight w:val="none"/>
          <w:shd w:val="clear" w:color="auto" w:fill="FFFFFF"/>
          <w:lang w:bidi="ar-SA"/>
        </w:rPr>
        <w:t>。</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（二）依申请公开情况</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202</w:t>
      </w:r>
      <w:r>
        <w:rPr>
          <w:rFonts w:hint="eastAsia" w:ascii="Times New Roman" w:hAnsi="Times New Roman"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年我局畅通受理渠道，在规定时限内精准规范答复意见，进一步提升依申请公开办理质量。全年我局办理公开申请</w:t>
      </w:r>
      <w:r>
        <w:rPr>
          <w:rFonts w:hint="eastAsia"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件，办</w:t>
      </w:r>
      <w:r>
        <w:rPr>
          <w:rFonts w:hint="eastAsia"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件，结转下年办理0件。</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（三）政府信息公开管理情况</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eastAsia" w:eastAsia="仿宋_GB2312" w:cs="Times New Roman"/>
          <w:color w:val="000000"/>
          <w:sz w:val="32"/>
          <w:szCs w:val="19"/>
          <w:shd w:val="clear" w:color="auto" w:fill="FFFFFF"/>
          <w:lang w:val="en-US" w:eastAsia="zh-CN" w:bidi="ar-SA"/>
        </w:rPr>
        <w:t>一是加强信息保密管理。</w:t>
      </w:r>
      <w:r>
        <w:rPr>
          <w:rFonts w:hint="default" w:ascii="Times New Roman" w:hAnsi="Times New Roman" w:eastAsia="仿宋_GB2312" w:cs="Times New Roman"/>
          <w:color w:val="000000"/>
          <w:sz w:val="32"/>
          <w:szCs w:val="19"/>
          <w:shd w:val="clear" w:color="auto" w:fill="FFFFFF"/>
          <w:lang w:bidi="ar-SA"/>
        </w:rPr>
        <w:t>我局高度重视政府信息公开工作，加强组织领导，每季度按时报送政务公开工作要点情况。为使信息公开工作真正落到实处，我局建立了主要领导负总责、分管领导主要抓、局办公室具体负责、其它处室密切配合的工作机制，并将责任明确到人，做到层层抓落实</w:t>
      </w:r>
      <w:r>
        <w:rPr>
          <w:rFonts w:hint="eastAsia" w:eastAsia="仿宋_GB2312" w:cs="Times New Roman"/>
          <w:color w:val="000000"/>
          <w:sz w:val="32"/>
          <w:szCs w:val="19"/>
          <w:shd w:val="clear" w:color="auto" w:fill="FFFFFF"/>
          <w:lang w:eastAsia="zh-CN" w:bidi="ar-SA"/>
        </w:rPr>
        <w:t>。</w:t>
      </w:r>
      <w:r>
        <w:rPr>
          <w:rFonts w:hint="eastAsia" w:eastAsia="仿宋_GB2312" w:cs="Times New Roman"/>
          <w:color w:val="000000"/>
          <w:sz w:val="32"/>
          <w:szCs w:val="19"/>
          <w:shd w:val="clear" w:color="auto" w:fill="FFFFFF"/>
          <w:lang w:val="en-US" w:eastAsia="zh-CN" w:bidi="ar-SA"/>
        </w:rPr>
        <w:t>二是严格落实信息公开审查制度。</w:t>
      </w:r>
      <w:r>
        <w:rPr>
          <w:rFonts w:hint="default" w:ascii="Times New Roman" w:hAnsi="Times New Roman" w:eastAsia="仿宋_GB2312" w:cs="Times New Roman"/>
          <w:color w:val="000000"/>
          <w:sz w:val="32"/>
          <w:szCs w:val="19"/>
          <w:shd w:val="clear" w:color="auto" w:fill="FFFFFF"/>
          <w:lang w:bidi="ar-SA"/>
        </w:rPr>
        <w:t>坚持“先审查、后公开”和“一事一审”原则，由经办处室负责人核稿，审核公开属性，再由分管领导复核，严格落实政府信息公开审查机制，明确审查的程序和责任，全面加强信息发布审核。</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（四）政府信息公开平台建设情况</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eastAsia" w:eastAsia="仿宋_GB2312" w:cs="Times New Roman"/>
          <w:color w:val="000000"/>
          <w:sz w:val="32"/>
          <w:szCs w:val="19"/>
          <w:shd w:val="clear" w:color="auto" w:fill="FFFFFF"/>
          <w:lang w:val="en-US" w:eastAsia="zh-CN" w:bidi="ar-SA"/>
        </w:rPr>
        <w:t>一是充分发挥门户网站信息公开第一平台作用，</w:t>
      </w:r>
      <w:r>
        <w:rPr>
          <w:rFonts w:hint="default" w:ascii="Times New Roman" w:hAnsi="Times New Roman" w:eastAsia="仿宋_GB2312" w:cs="Times New Roman"/>
          <w:color w:val="000000"/>
          <w:sz w:val="32"/>
          <w:szCs w:val="19"/>
          <w:shd w:val="clear" w:color="auto" w:fill="FFFFFF"/>
          <w:lang w:bidi="ar-SA"/>
        </w:rPr>
        <w:t>加强我局责任栏目维护和管理</w:t>
      </w:r>
      <w:r>
        <w:rPr>
          <w:rFonts w:hint="eastAsia" w:eastAsia="仿宋_GB2312" w:cs="Times New Roman"/>
          <w:color w:val="000000"/>
          <w:sz w:val="32"/>
          <w:szCs w:val="19"/>
          <w:shd w:val="clear" w:color="auto" w:fill="FFFFFF"/>
          <w:lang w:val="en-US" w:eastAsia="zh-CN" w:bidi="ar-SA"/>
        </w:rPr>
        <w:t>，提升用户体验，改进网站服务优化栏目设置，确保板块功能清晰，完善公开目录，</w:t>
      </w:r>
      <w:r>
        <w:rPr>
          <w:rFonts w:hint="default" w:ascii="Times New Roman" w:hAnsi="Times New Roman" w:eastAsia="仿宋_GB2312" w:cs="Times New Roman"/>
          <w:color w:val="000000"/>
          <w:sz w:val="32"/>
          <w:szCs w:val="19"/>
          <w:shd w:val="clear" w:color="auto" w:fill="FFFFFF"/>
          <w:lang w:bidi="ar-SA"/>
        </w:rPr>
        <w:t>门户网站和信息及时发布并更新</w:t>
      </w:r>
      <w:r>
        <w:rPr>
          <w:rFonts w:hint="eastAsia" w:eastAsia="仿宋_GB2312" w:cs="Times New Roman"/>
          <w:color w:val="000000"/>
          <w:sz w:val="32"/>
          <w:szCs w:val="19"/>
          <w:shd w:val="clear" w:color="auto" w:fill="FFFFFF"/>
          <w:lang w:val="en-US" w:eastAsia="zh-CN" w:bidi="ar-SA"/>
        </w:rPr>
        <w:t>，提高发布质效。二是加强新媒体平台建设，全方位宣传统计</w:t>
      </w:r>
      <w:r>
        <w:rPr>
          <w:rFonts w:hint="default" w:ascii="Times New Roman" w:hAnsi="Times New Roman" w:eastAsia="仿宋_GB2312" w:cs="Times New Roman"/>
          <w:color w:val="000000"/>
          <w:sz w:val="32"/>
          <w:szCs w:val="19"/>
          <w:shd w:val="clear" w:color="auto" w:fill="FFFFFF"/>
          <w:lang w:bidi="ar-SA"/>
        </w:rPr>
        <w:t>，</w:t>
      </w:r>
      <w:r>
        <w:rPr>
          <w:rFonts w:hint="eastAsia" w:eastAsia="仿宋_GB2312" w:cs="Times New Roman"/>
          <w:color w:val="000000"/>
          <w:sz w:val="32"/>
          <w:szCs w:val="19"/>
          <w:shd w:val="clear" w:color="auto" w:fill="FFFFFF"/>
          <w:lang w:val="en-US" w:eastAsia="zh-CN" w:bidi="ar-SA"/>
        </w:rPr>
        <w:t>广泛搜集、精心挑选与知识产权工作关系密切或有指导意义的信息发布到官方网站，实现了知识产权</w:t>
      </w:r>
      <w:bookmarkStart w:id="0" w:name="_GoBack"/>
      <w:bookmarkEnd w:id="0"/>
      <w:r>
        <w:rPr>
          <w:rFonts w:hint="eastAsia" w:eastAsia="仿宋_GB2312" w:cs="Times New Roman"/>
          <w:color w:val="000000"/>
          <w:sz w:val="32"/>
          <w:szCs w:val="19"/>
          <w:shd w:val="clear" w:color="auto" w:fill="FFFFFF"/>
          <w:lang w:val="en-US" w:eastAsia="zh-CN" w:bidi="ar-SA"/>
        </w:rPr>
        <w:t>、政策解读、重点工作信息有机整合</w:t>
      </w:r>
      <w:r>
        <w:rPr>
          <w:rFonts w:hint="default" w:ascii="Times New Roman" w:hAnsi="Times New Roman" w:eastAsia="仿宋_GB2312" w:cs="Times New Roman"/>
          <w:color w:val="000000"/>
          <w:sz w:val="32"/>
          <w:szCs w:val="19"/>
          <w:shd w:val="clear" w:color="auto" w:fill="FFFFFF"/>
          <w:lang w:bidi="ar-SA"/>
        </w:rPr>
        <w:t>。</w:t>
      </w:r>
    </w:p>
    <w:p>
      <w:pPr>
        <w:pStyle w:val="3"/>
        <w:widowControl/>
        <w:shd w:val="clear" w:color="auto" w:fill="FFFFFF"/>
        <w:spacing w:beforeAutospacing="0" w:afterAutospacing="0"/>
        <w:ind w:firstLine="640" w:firstLineChars="200"/>
        <w:jc w:val="both"/>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（五）政府信息公开监督保障情况</w:t>
      </w:r>
    </w:p>
    <w:p>
      <w:pPr>
        <w:pStyle w:val="3"/>
        <w:widowControl/>
        <w:shd w:val="clear" w:color="auto" w:fill="FFFFFF"/>
        <w:spacing w:beforeAutospacing="0" w:afterAutospacing="0"/>
        <w:ind w:firstLine="640" w:firstLineChars="200"/>
        <w:jc w:val="both"/>
        <w:rPr>
          <w:rFonts w:hint="eastAsia" w:ascii="Times New Roman" w:hAnsi="Times New Roman" w:eastAsia="仿宋_GB2312" w:cs="Times New Roman"/>
          <w:color w:val="000000"/>
          <w:sz w:val="32"/>
          <w:szCs w:val="19"/>
          <w:shd w:val="clear" w:color="auto" w:fill="FFFFFF"/>
          <w:lang w:eastAsia="zh-CN" w:bidi="ar-SA"/>
        </w:rPr>
      </w:pPr>
      <w:r>
        <w:rPr>
          <w:rFonts w:hint="default" w:ascii="Times New Roman" w:hAnsi="Times New Roman" w:eastAsia="仿宋_GB2312" w:cs="Times New Roman"/>
          <w:color w:val="000000"/>
          <w:sz w:val="32"/>
          <w:szCs w:val="19"/>
          <w:shd w:val="clear" w:color="auto" w:fill="FFFFFF"/>
          <w:lang w:bidi="ar-SA"/>
        </w:rPr>
        <w:t>我局</w:t>
      </w:r>
      <w:r>
        <w:rPr>
          <w:rFonts w:hint="eastAsia" w:eastAsia="仿宋_GB2312" w:cs="Times New Roman"/>
          <w:color w:val="000000"/>
          <w:sz w:val="32"/>
          <w:szCs w:val="19"/>
          <w:shd w:val="clear" w:color="auto" w:fill="FFFFFF"/>
          <w:lang w:val="en-US" w:eastAsia="zh-CN" w:bidi="ar-SA"/>
        </w:rPr>
        <w:t>完</w:t>
      </w:r>
      <w:r>
        <w:rPr>
          <w:rFonts w:hint="default" w:ascii="Times New Roman" w:hAnsi="Times New Roman" w:eastAsia="仿宋_GB2312" w:cs="Times New Roman"/>
          <w:color w:val="000000"/>
          <w:sz w:val="32"/>
          <w:szCs w:val="19"/>
          <w:shd w:val="clear" w:color="auto" w:fill="FFFFFF"/>
          <w:lang w:bidi="ar-SA"/>
        </w:rPr>
        <w:t>善</w:t>
      </w:r>
      <w:r>
        <w:rPr>
          <w:rFonts w:hint="eastAsia" w:eastAsia="仿宋_GB2312" w:cs="Times New Roman"/>
          <w:color w:val="000000"/>
          <w:sz w:val="32"/>
          <w:szCs w:val="19"/>
          <w:shd w:val="clear" w:color="auto" w:fill="FFFFFF"/>
          <w:lang w:val="en-US" w:eastAsia="zh-CN" w:bidi="ar-SA"/>
        </w:rPr>
        <w:t>局</w:t>
      </w:r>
      <w:r>
        <w:rPr>
          <w:rFonts w:hint="default" w:ascii="Times New Roman" w:hAnsi="Times New Roman" w:eastAsia="仿宋_GB2312" w:cs="Times New Roman"/>
          <w:color w:val="000000"/>
          <w:sz w:val="32"/>
          <w:szCs w:val="19"/>
          <w:shd w:val="clear" w:color="auto" w:fill="FFFFFF"/>
          <w:lang w:bidi="ar-SA"/>
        </w:rPr>
        <w:t>内政务公开考评细则，以严格的监督考评，发挥政务公开促规范、促服务作用。组织开展信息公开培训交流，不断提升</w:t>
      </w:r>
      <w:r>
        <w:rPr>
          <w:rFonts w:hint="eastAsia" w:eastAsia="仿宋_GB2312" w:cs="Times New Roman"/>
          <w:color w:val="000000"/>
          <w:sz w:val="32"/>
          <w:szCs w:val="19"/>
          <w:shd w:val="clear" w:color="auto" w:fill="FFFFFF"/>
          <w:lang w:val="en-US" w:eastAsia="zh-CN" w:bidi="ar-SA"/>
        </w:rPr>
        <w:t>局内人员</w:t>
      </w:r>
      <w:r>
        <w:rPr>
          <w:rFonts w:hint="default" w:ascii="Times New Roman" w:hAnsi="Times New Roman" w:eastAsia="仿宋_GB2312" w:cs="Times New Roman"/>
          <w:color w:val="000000"/>
          <w:sz w:val="32"/>
          <w:szCs w:val="19"/>
          <w:shd w:val="clear" w:color="auto" w:fill="FFFFFF"/>
          <w:lang w:bidi="ar-SA"/>
        </w:rPr>
        <w:t>信息公开工作能力和水平。确保政府信息公开扎实、规范、高效开展，进一步将</w:t>
      </w:r>
      <w:r>
        <w:rPr>
          <w:rFonts w:hint="eastAsia" w:eastAsia="仿宋_GB2312" w:cs="Times New Roman"/>
          <w:color w:val="000000"/>
          <w:sz w:val="32"/>
          <w:szCs w:val="19"/>
          <w:shd w:val="clear" w:color="auto" w:fill="FFFFFF"/>
          <w:lang w:val="en-US" w:eastAsia="zh-CN" w:bidi="ar-SA"/>
        </w:rPr>
        <w:t>全局</w:t>
      </w:r>
      <w:r>
        <w:rPr>
          <w:rFonts w:hint="default" w:ascii="Times New Roman" w:hAnsi="Times New Roman" w:eastAsia="仿宋_GB2312" w:cs="Times New Roman"/>
          <w:color w:val="000000"/>
          <w:sz w:val="32"/>
          <w:szCs w:val="19"/>
          <w:shd w:val="clear" w:color="auto" w:fill="FFFFFF"/>
          <w:lang w:bidi="ar-SA"/>
        </w:rPr>
        <w:t>政府信息公开工作落到实处</w:t>
      </w:r>
      <w:r>
        <w:rPr>
          <w:rFonts w:hint="eastAsia" w:eastAsia="仿宋_GB2312" w:cs="Times New Roman"/>
          <w:color w:val="000000"/>
          <w:sz w:val="32"/>
          <w:szCs w:val="19"/>
          <w:shd w:val="clear" w:color="auto" w:fill="FFFFFF"/>
          <w:lang w:eastAsia="zh-CN" w:bidi="ar-SA"/>
        </w:rPr>
        <w:t>。</w:t>
      </w: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二、主动公开政府信息情况</w:t>
      </w:r>
    </w:p>
    <w:tbl>
      <w:tblPr>
        <w:tblStyle w:val="4"/>
        <w:tblW w:w="9740" w:type="dxa"/>
        <w:jc w:val="center"/>
        <w:tblLayout w:type="autofit"/>
        <w:tblCellMar>
          <w:top w:w="0" w:type="dxa"/>
          <w:left w:w="0" w:type="dxa"/>
          <w:bottom w:w="0" w:type="dxa"/>
          <w:right w:w="0" w:type="dxa"/>
        </w:tblCellMar>
      </w:tblPr>
      <w:tblGrid>
        <w:gridCol w:w="2435"/>
        <w:gridCol w:w="2435"/>
        <w:gridCol w:w="2435"/>
        <w:gridCol w:w="2435"/>
      </w:tblGrid>
      <w:tr>
        <w:trPr>
          <w:trHeight w:val="340" w:hRule="atLeast"/>
          <w:jc w:val="center"/>
        </w:trPr>
        <w:tc>
          <w:tcPr>
            <w:tcW w:w="9740" w:type="dxa"/>
            <w:gridSpan w:val="4"/>
            <w:tcBorders>
              <w:top w:val="single" w:color="auto" w:sz="8" w:space="0"/>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第二十条第（一）项</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本年制发件数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本年废止件数</w:t>
            </w:r>
          </w:p>
        </w:tc>
        <w:tc>
          <w:tcPr>
            <w:tcW w:w="2435" w:type="dxa"/>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现行有效件数</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规章</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行政规范性文件</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1</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cs="Times New Roman"/>
                <w:color w:val="000000"/>
                <w:sz w:val="24"/>
                <w:lang w:val="en-US" w:eastAsia="zh-CN" w:bidi="ar-SA"/>
              </w:rPr>
              <w:t>2</w:t>
            </w:r>
          </w:p>
        </w:tc>
        <w:tc>
          <w:tcPr>
            <w:tcW w:w="2435" w:type="dxa"/>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highlight w:val="none"/>
                <w:lang w:val="en-US" w:eastAsia="zh-CN" w:bidi="ar-SA"/>
              </w:rPr>
              <w:t>2</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第二十条第（五）项</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行政许可</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第二十条第（六）项</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本年处理决定数量</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行政处罚</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4</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行政强制</w:t>
            </w:r>
          </w:p>
        </w:tc>
        <w:tc>
          <w:tcPr>
            <w:tcW w:w="7305" w:type="dxa"/>
            <w:gridSpan w:val="3"/>
            <w:tcBorders>
              <w:top w:val="nil"/>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2</w:t>
            </w:r>
          </w:p>
        </w:tc>
      </w:tr>
      <w:tr>
        <w:trPr>
          <w:trHeight w:val="340" w:hRule="atLeast"/>
          <w:jc w:val="center"/>
        </w:trPr>
        <w:tc>
          <w:tcPr>
            <w:tcW w:w="9740" w:type="dxa"/>
            <w:gridSpan w:val="4"/>
            <w:tcBorders>
              <w:top w:val="nil"/>
              <w:left w:val="single" w:color="auto" w:sz="8" w:space="0"/>
              <w:bottom w:val="single" w:color="auto" w:sz="8" w:space="0"/>
              <w:right w:val="single" w:color="auto" w:sz="8" w:space="0"/>
            </w:tcBorders>
            <w:shd w:val="clear" w:color="auto" w:fill="C6D9F1"/>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第二十条第（八）项</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信息内容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本年收费金额（单位：万元）</w:t>
            </w:r>
          </w:p>
        </w:tc>
      </w:tr>
      <w:tr>
        <w:trPr>
          <w:trHeight w:val="340" w:hRule="atLeast"/>
          <w:jc w:val="center"/>
        </w:trPr>
        <w:tc>
          <w:tcPr>
            <w:tcW w:w="2435" w:type="dxa"/>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行政事业性收费</w:t>
            </w:r>
          </w:p>
        </w:tc>
        <w:tc>
          <w:tcPr>
            <w:tcW w:w="7305" w:type="dxa"/>
            <w:gridSpan w:val="3"/>
            <w:tcBorders>
              <w:top w:val="nil"/>
              <w:left w:val="nil"/>
              <w:bottom w:val="single" w:color="auto" w:sz="8" w:space="0"/>
              <w:right w:val="single" w:color="000000"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pStyle w:val="3"/>
        <w:widowControl/>
        <w:shd w:val="clear" w:color="auto" w:fill="FFFFFF"/>
        <w:spacing w:beforeAutospacing="0" w:afterAutospacing="0"/>
        <w:ind w:firstLine="640" w:firstLineChars="200"/>
        <w:jc w:val="both"/>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三、收到和处理政府信息公开申请情况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751"/>
        <w:gridCol w:w="954"/>
        <w:gridCol w:w="3261"/>
        <w:gridCol w:w="683"/>
        <w:gridCol w:w="683"/>
        <w:gridCol w:w="683"/>
        <w:gridCol w:w="683"/>
        <w:gridCol w:w="683"/>
        <w:gridCol w:w="683"/>
        <w:gridCol w:w="684"/>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66" w:type="dxa"/>
            <w:gridSpan w:val="3"/>
            <w:vMerge w:val="restart"/>
            <w:tcBorders>
              <w:top w:val="single" w:color="auto" w:sz="8" w:space="0"/>
              <w:left w:val="single" w:color="auto" w:sz="8" w:space="0"/>
              <w:bottom w:val="outset" w:color="auto" w:sz="8" w:space="0"/>
              <w:right w:val="single" w:color="auto" w:sz="8" w:space="0"/>
            </w:tcBorders>
            <w:noWrap w:val="0"/>
            <w:tcMar>
              <w:left w:w="108" w:type="dxa"/>
              <w:right w:w="108"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（本列数据的勾稽关系为：第一项加第二项之和，等于第三项加第四项之和）</w:t>
            </w:r>
          </w:p>
        </w:tc>
        <w:tc>
          <w:tcPr>
            <w:tcW w:w="4782" w:type="dxa"/>
            <w:gridSpan w:val="7"/>
            <w:tcBorders>
              <w:top w:val="single" w:color="auto" w:sz="8"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申请人情况</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tc>
        <w:tc>
          <w:tcPr>
            <w:tcW w:w="683"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自然人</w:t>
            </w:r>
          </w:p>
        </w:tc>
        <w:tc>
          <w:tcPr>
            <w:tcW w:w="3415" w:type="dxa"/>
            <w:gridSpan w:val="5"/>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法人或其他组织</w:t>
            </w:r>
          </w:p>
        </w:tc>
        <w:tc>
          <w:tcPr>
            <w:tcW w:w="684" w:type="dxa"/>
            <w:vMerge w:val="restart"/>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66" w:type="dxa"/>
            <w:gridSpan w:val="3"/>
            <w:vMerge w:val="continue"/>
            <w:tcBorders>
              <w:top w:val="single" w:color="auto" w:sz="8" w:space="0"/>
              <w:left w:val="single" w:color="auto" w:sz="8" w:space="0"/>
              <w:bottom w:val="outset" w:color="auto" w:sz="8" w:space="0"/>
              <w:right w:val="single" w:color="auto" w:sz="4" w:space="0"/>
            </w:tcBorders>
            <w:noWrap w:val="0"/>
            <w:tcMar>
              <w:left w:w="108" w:type="dxa"/>
              <w:right w:w="108" w:type="dxa"/>
            </w:tcMar>
            <w:vAlign w:val="center"/>
          </w:tcPr>
          <w:p/>
        </w:tc>
        <w:tc>
          <w:tcPr>
            <w:tcW w:w="683"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商业</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企业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科研</w:t>
            </w:r>
          </w:p>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机构</w:t>
            </w:r>
          </w:p>
        </w:tc>
        <w:tc>
          <w:tcPr>
            <w:tcW w:w="683" w:type="dxa"/>
            <w:tcBorders>
              <w:top w:val="single" w:color="auto" w:sz="8" w:space="0"/>
              <w:left w:val="single" w:color="auto" w:sz="4" w:space="0"/>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社会公益组织</w:t>
            </w:r>
          </w:p>
        </w:tc>
        <w:tc>
          <w:tcPr>
            <w:tcW w:w="683" w:type="dxa"/>
            <w:tcBorders>
              <w:top w:val="single" w:color="auto" w:sz="8" w:space="0"/>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法律服务机构</w:t>
            </w:r>
          </w:p>
        </w:tc>
        <w:tc>
          <w:tcPr>
            <w:tcW w:w="683" w:type="dxa"/>
            <w:tcBorders>
              <w:top w:val="single" w:color="auto" w:sz="8" w:space="0"/>
              <w:left w:val="nil"/>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其他</w:t>
            </w:r>
          </w:p>
        </w:tc>
        <w:tc>
          <w:tcPr>
            <w:tcW w:w="684" w:type="dxa"/>
            <w:vMerge w:val="continue"/>
            <w:tcBorders>
              <w:top w:val="single" w:color="auto" w:sz="8" w:space="0"/>
              <w:left w:val="single" w:color="auto" w:sz="4" w:space="0"/>
              <w:bottom w:val="outset" w:color="auto" w:sz="8" w:space="0"/>
              <w:right w:val="single" w:color="auto" w:sz="8" w:space="0"/>
            </w:tcBorders>
            <w:noWrap w:val="0"/>
            <w:tcMar>
              <w:left w:w="57" w:type="dxa"/>
              <w:right w:w="57" w:type="dxa"/>
            </w:tcMar>
            <w:vAlign w:val="center"/>
          </w:tcP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66" w:type="dxa"/>
            <w:gridSpan w:val="3"/>
            <w:tcBorders>
              <w:top w:val="nil"/>
              <w:left w:val="single" w:color="auto" w:sz="8" w:space="0"/>
              <w:bottom w:val="single" w:color="auto" w:sz="8"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一、本年新收政府信息公开申请数量</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eastAsia" w:cs="Times New Roman"/>
                <w:color w:val="000000"/>
                <w:sz w:val="28"/>
                <w:lang w:val="en-US" w:eastAsia="zh-CN" w:bidi="ar-SA"/>
              </w:rPr>
              <w:t>3</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nil"/>
              <w:bottom w:val="single" w:color="auto" w:sz="8"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8"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cs="Times New Roman"/>
                <w:color w:val="000000"/>
                <w:sz w:val="28"/>
                <w:lang w:val="en-US" w:eastAsia="zh-CN" w:bidi="ar-SA"/>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66" w:type="dxa"/>
            <w:gridSpan w:val="3"/>
            <w:tcBorders>
              <w:top w:val="nil"/>
              <w:left w:val="single" w:color="auto" w:sz="8" w:space="0"/>
              <w:bottom w:val="single" w:color="auto" w:sz="4" w:space="0"/>
              <w:right w:val="single" w:color="auto" w:sz="8"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二、上年结转政府信息公开申请数量</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nil"/>
              <w:left w:val="nil"/>
              <w:bottom w:val="single" w:color="auto" w:sz="4" w:space="0"/>
              <w:right w:val="single" w:color="auto" w:sz="8"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nil"/>
              <w:left w:val="nil"/>
              <w:bottom w:val="single" w:color="auto" w:sz="4" w:space="0"/>
              <w:right w:val="single" w:color="auto" w:sz="8"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三、本年度办理结果</w:t>
            </w: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（一）予以公开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（二）部分公开（区分处理的，只计这一情形，不计其他情形）</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（三）不予公开</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1.属于国家秘密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2.其他法律行政法规禁止公开</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3.危及“三安全一稳定”</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4.保护第三方合法权益</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5.属于三类内部事务信息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6.属于四类过程性信息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7.属于行政执法案卷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8.属于行政查询事项</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（四）无法提供</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1.本机关不掌握相关政府信息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2.没有现成信息需要另行制作</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3.补正后申请内容仍不明确</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（五）不予处理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1.信访举报投诉类申请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3.要求提供公开出版物</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4.无正当理由大量反复申请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779" w:hRule="atLeast"/>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5.要求行政机关确认或重新出具已获取信息</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restart"/>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（六）其他处理</w:t>
            </w: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1.申请人无正当理由逾期不补正、行政机关不再处理其政府信息公开申请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2.申请人逾期未按收费通知要求缴纳费用、行政机关不再处理其政府信息公开申请</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954"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3261"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3.其他</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cs="Times New Roman"/>
                <w:color w:val="000000"/>
                <w:sz w:val="28"/>
                <w:lang w:val="en-US" w:eastAsia="zh-CN" w:bidi="ar-SA"/>
              </w:rPr>
              <w:t>1</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default" w:ascii="Times New Roman" w:hAnsi="Times New Roman" w:eastAsia="宋体" w:cs="Times New Roman"/>
                <w:color w:val="000000"/>
                <w:sz w:val="28"/>
                <w:lang w:bidi="ar-SA"/>
              </w:rPr>
            </w:pPr>
            <w:r>
              <w:rPr>
                <w:rFonts w:hint="eastAsia" w:cs="Times New Roman"/>
                <w:color w:val="000000"/>
                <w:sz w:val="28"/>
                <w:lang w:val="en-US" w:eastAsia="zh-CN" w:bidi="ar-SA"/>
              </w:rPr>
              <w:t>1</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751" w:type="dxa"/>
            <w:vMerge w:val="continue"/>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tc>
        <w:tc>
          <w:tcPr>
            <w:tcW w:w="4215" w:type="dxa"/>
            <w:gridSpan w:val="2"/>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（七）总计</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cs="Times New Roman"/>
                <w:color w:val="000000"/>
                <w:sz w:val="28"/>
                <w:lang w:val="en-US" w:eastAsia="zh-CN" w:bidi="ar-SA"/>
              </w:rPr>
              <w:t>3</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default" w:ascii="Times New Roman" w:hAnsi="Times New Roman" w:eastAsia="宋体" w:cs="Times New Roman"/>
                <w:color w:val="000000"/>
                <w:sz w:val="28"/>
                <w:lang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cs="Times New Roman"/>
                <w:color w:val="000000"/>
                <w:sz w:val="28"/>
                <w:lang w:val="en-US" w:eastAsia="zh-CN" w:bidi="ar-SA"/>
              </w:rPr>
              <w:t>3</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4966" w:type="dxa"/>
            <w:gridSpan w:val="3"/>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left"/>
              <w:rPr>
                <w:rFonts w:hint="default" w:ascii="Times New Roman" w:hAnsi="Times New Roman" w:eastAsia="宋体" w:cs="Times New Roman"/>
                <w:color w:val="000000"/>
                <w:sz w:val="28"/>
                <w:lang w:bidi="ar-SA"/>
              </w:rPr>
            </w:pPr>
            <w:r>
              <w:rPr>
                <w:rFonts w:hint="default" w:ascii="Times New Roman" w:hAnsi="Times New Roman" w:eastAsia="宋体" w:cs="Times New Roman"/>
                <w:color w:val="000000"/>
                <w:kern w:val="0"/>
                <w:sz w:val="28"/>
                <w:szCs w:val="20"/>
                <w:lang w:bidi="ar-SA"/>
              </w:rPr>
              <w:t>四、结转下年度继续办理</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3" w:type="dxa"/>
            <w:tcBorders>
              <w:top w:val="single" w:color="auto" w:sz="4" w:space="0"/>
              <w:left w:val="single" w:color="auto" w:sz="4" w:space="0"/>
              <w:bottom w:val="single" w:color="auto" w:sz="4" w:space="0"/>
              <w:right w:val="single" w:color="auto" w:sz="4" w:space="0"/>
            </w:tcBorders>
            <w:noWrap w:val="0"/>
            <w:tcMar>
              <w:left w:w="57" w:type="dxa"/>
              <w:right w:w="57" w:type="dxa"/>
            </w:tcMar>
            <w:vAlign w:val="center"/>
          </w:tcPr>
          <w:p>
            <w:pPr>
              <w:widowControl/>
              <w:spacing w:line="440" w:lineRule="exact"/>
              <w:jc w:val="center"/>
              <w:rPr>
                <w:rFonts w:hint="eastAsia" w:ascii="Times New Roman" w:hAnsi="Times New Roman" w:eastAsia="宋体" w:cs="Times New Roman"/>
                <w:color w:val="000000"/>
                <w:sz w:val="28"/>
                <w:lang w:val="en-US" w:eastAsia="zh-CN" w:bidi="ar-SA"/>
              </w:rPr>
            </w:pPr>
            <w:r>
              <w:rPr>
                <w:rFonts w:hint="eastAsia" w:ascii="Times New Roman" w:hAnsi="Times New Roman" w:cs="Times New Roman"/>
                <w:color w:val="000000"/>
                <w:sz w:val="28"/>
                <w:lang w:val="en-US" w:eastAsia="zh-CN" w:bidi="ar-SA"/>
              </w:rPr>
              <w:t>0</w:t>
            </w:r>
          </w:p>
        </w:tc>
        <w:tc>
          <w:tcPr>
            <w:tcW w:w="684" w:type="dxa"/>
            <w:tcBorders>
              <w:top w:val="single" w:color="auto" w:sz="4" w:space="0"/>
              <w:left w:val="single" w:color="auto" w:sz="4" w:space="0"/>
              <w:bottom w:val="single" w:color="auto" w:sz="4" w:space="0"/>
              <w:right w:val="single" w:color="auto" w:sz="4" w:space="0"/>
            </w:tcBorders>
            <w:noWrap w:val="0"/>
            <w:tcMar>
              <w:left w:w="57" w:type="dxa"/>
              <w:right w:w="57" w:type="dxa"/>
            </w:tcMar>
            <w:vAlign w:val="top"/>
          </w:tcPr>
          <w:p>
            <w:pPr>
              <w:widowControl/>
              <w:spacing w:line="440" w:lineRule="exact"/>
              <w:jc w:val="center"/>
              <w:rPr>
                <w:rFonts w:hint="eastAsia" w:ascii="Times New Roman" w:hAnsi="Times New Roman" w:eastAsia="宋体" w:cs="Times New Roman"/>
                <w:color w:val="000000"/>
                <w:sz w:val="28"/>
                <w:szCs w:val="24"/>
                <w:lang w:val="en-US" w:eastAsia="zh-CN" w:bidi="ar-SA"/>
              </w:rPr>
            </w:pPr>
            <w:r>
              <w:rPr>
                <w:rFonts w:hint="eastAsia" w:ascii="Times New Roman" w:hAnsi="Times New Roman" w:cs="Times New Roman"/>
                <w:color w:val="000000"/>
                <w:sz w:val="28"/>
                <w:szCs w:val="24"/>
                <w:lang w:val="en-US" w:eastAsia="zh-CN" w:bidi="ar-SA"/>
              </w:rPr>
              <w:t>0</w:t>
            </w:r>
          </w:p>
        </w:tc>
      </w:tr>
    </w:tbl>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宋体" w:cs="Times New Roman"/>
          <w:color w:val="000000"/>
          <w:sz w:val="19"/>
          <w:szCs w:val="19"/>
          <w:lang w:bidi="ar-SA"/>
        </w:rPr>
      </w:pPr>
      <w:r>
        <w:rPr>
          <w:rFonts w:hint="default" w:ascii="Times New Roman" w:hAnsi="Times New Roman" w:eastAsia="黑体" w:cs="Times New Roman"/>
          <w:color w:val="000000"/>
          <w:sz w:val="32"/>
          <w:szCs w:val="19"/>
          <w:shd w:val="clear" w:color="auto" w:fill="FFFFFF"/>
          <w:lang w:bidi="ar-SA"/>
        </w:rPr>
        <w:t>四、政府信息公开行政复议、行政诉讼情况</w:t>
      </w:r>
    </w:p>
    <w:tbl>
      <w:tblPr>
        <w:tblStyle w:val="4"/>
        <w:tblW w:w="9748" w:type="dxa"/>
        <w:jc w:val="center"/>
        <w:tblBorders>
          <w:top w:val="none" w:color="auto" w:sz="0" w:space="0"/>
          <w:left w:val="none" w:color="auto" w:sz="0" w:space="0"/>
          <w:bottom w:val="none" w:color="auto" w:sz="0" w:space="0"/>
          <w:right w:val="none" w:color="auto" w:sz="0" w:space="0"/>
          <w:insideH w:val="outset" w:color="auto" w:sz="6" w:space="0"/>
          <w:insideV w:val="outset" w:color="auto" w:sz="6" w:space="0"/>
        </w:tblBorders>
        <w:tblLayout w:type="autofit"/>
        <w:tblCellMar>
          <w:top w:w="0" w:type="dxa"/>
          <w:left w:w="0" w:type="dxa"/>
          <w:bottom w:w="0" w:type="dxa"/>
          <w:right w:w="0" w:type="dxa"/>
        </w:tblCellMar>
      </w:tblPr>
      <w:tblGrid>
        <w:gridCol w:w="649"/>
        <w:gridCol w:w="649"/>
        <w:gridCol w:w="649"/>
        <w:gridCol w:w="649"/>
        <w:gridCol w:w="649"/>
        <w:gridCol w:w="649"/>
        <w:gridCol w:w="649"/>
        <w:gridCol w:w="650"/>
        <w:gridCol w:w="650"/>
        <w:gridCol w:w="650"/>
        <w:gridCol w:w="651"/>
        <w:gridCol w:w="651"/>
        <w:gridCol w:w="651"/>
        <w:gridCol w:w="651"/>
        <w:gridCol w:w="651"/>
      </w:tblGrid>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324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行政复议</w:t>
            </w:r>
          </w:p>
        </w:tc>
        <w:tc>
          <w:tcPr>
            <w:tcW w:w="6503" w:type="dxa"/>
            <w:gridSpan w:val="10"/>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行政诉讼</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结果维持</w:t>
            </w:r>
          </w:p>
        </w:tc>
        <w:tc>
          <w:tcPr>
            <w:tcW w:w="649" w:type="dxa"/>
            <w:vMerge w:val="restart"/>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49" w:type="dxa"/>
            <w:vMerge w:val="restart"/>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3248"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未经复议直接起诉</w:t>
            </w:r>
          </w:p>
        </w:tc>
        <w:tc>
          <w:tcPr>
            <w:tcW w:w="3255" w:type="dxa"/>
            <w:gridSpan w:val="5"/>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复议后起诉</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jc w:val="center"/>
        </w:trPr>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nil"/>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vMerge w:val="continue"/>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0"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维持</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结果</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纠正</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其他</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结果</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尚未</w:t>
            </w:r>
            <w:r>
              <w:rPr>
                <w:rFonts w:hint="default" w:ascii="Times New Roman" w:hAnsi="Times New Roman" w:eastAsia="宋体" w:cs="Times New Roman"/>
                <w:color w:val="000000"/>
                <w:kern w:val="0"/>
                <w:sz w:val="24"/>
                <w:szCs w:val="20"/>
                <w:lang w:bidi="ar-SA"/>
              </w:rPr>
              <w:br w:type="textWrapping"/>
            </w:r>
            <w:r>
              <w:rPr>
                <w:rFonts w:hint="default" w:ascii="Times New Roman" w:hAnsi="Times New Roman" w:eastAsia="宋体" w:cs="Times New Roman"/>
                <w:color w:val="000000"/>
                <w:kern w:val="0"/>
                <w:sz w:val="24"/>
                <w:szCs w:val="20"/>
                <w:lang w:bidi="ar-SA"/>
              </w:rPr>
              <w:t>审结</w:t>
            </w:r>
          </w:p>
        </w:tc>
        <w:tc>
          <w:tcPr>
            <w:tcW w:w="651" w:type="dxa"/>
            <w:tcBorders>
              <w:top w:val="single" w:color="auto" w:sz="8" w:space="0"/>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default" w:ascii="Times New Roman" w:hAnsi="Times New Roman" w:eastAsia="宋体" w:cs="Times New Roman"/>
                <w:color w:val="000000"/>
                <w:sz w:val="24"/>
                <w:lang w:bidi="ar-SA"/>
              </w:rPr>
            </w:pPr>
            <w:r>
              <w:rPr>
                <w:rFonts w:hint="default" w:ascii="Times New Roman" w:hAnsi="Times New Roman" w:eastAsia="宋体" w:cs="Times New Roman"/>
                <w:color w:val="000000"/>
                <w:kern w:val="0"/>
                <w:sz w:val="24"/>
                <w:szCs w:val="20"/>
                <w:lang w:bidi="ar-SA"/>
              </w:rPr>
              <w:t>总计</w:t>
            </w:r>
          </w:p>
        </w:tc>
      </w:tr>
      <w:tr>
        <w:tblPrEx>
          <w:tblBorders>
            <w:top w:val="none" w:color="auto" w:sz="0" w:space="0"/>
            <w:left w:val="none" w:color="auto" w:sz="0" w:space="0"/>
            <w:bottom w:val="none" w:color="auto" w:sz="0" w:space="0"/>
            <w:right w:val="none" w:color="auto" w:sz="0" w:space="0"/>
            <w:insideH w:val="outset" w:color="auto" w:sz="6" w:space="0"/>
            <w:insideV w:val="outset" w:color="auto" w:sz="6" w:space="0"/>
          </w:tblBorders>
        </w:tblPrEx>
        <w:trPr>
          <w:trHeight w:val="672" w:hRule="atLeast"/>
          <w:jc w:val="center"/>
        </w:trPr>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49"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0"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widowControl/>
              <w:jc w:val="center"/>
              <w:rPr>
                <w:rFonts w:hint="eastAsia" w:ascii="Times New Roman" w:hAnsi="Times New Roman" w:eastAsia="宋体" w:cs="Times New Roman"/>
                <w:color w:val="000000"/>
                <w:sz w:val="24"/>
                <w:lang w:val="en-US" w:eastAsia="zh-CN" w:bidi="ar-SA"/>
              </w:rPr>
            </w:pPr>
            <w:r>
              <w:rPr>
                <w:rFonts w:hint="eastAsia" w:ascii="Times New Roman" w:hAnsi="Times New Roman" w:cs="Times New Roman"/>
                <w:color w:val="000000"/>
                <w:sz w:val="24"/>
                <w:lang w:val="en-US" w:eastAsia="zh-CN" w:bidi="ar-SA"/>
              </w:rPr>
              <w:t>0</w:t>
            </w:r>
          </w:p>
        </w:tc>
        <w:tc>
          <w:tcPr>
            <w:tcW w:w="651" w:type="dxa"/>
            <w:tcBorders>
              <w:top w:val="nil"/>
              <w:left w:val="single" w:color="auto" w:sz="8" w:space="0"/>
              <w:bottom w:val="single" w:color="auto" w:sz="8" w:space="0"/>
              <w:right w:val="single" w:color="auto" w:sz="8" w:space="0"/>
            </w:tcBorders>
            <w:noWrap w:val="0"/>
            <w:tcMar>
              <w:left w:w="108" w:type="dxa"/>
              <w:right w:w="108" w:type="dxa"/>
            </w:tcMar>
            <w:vAlign w:val="center"/>
          </w:tcPr>
          <w:p>
            <w:pPr>
              <w:jc w:val="center"/>
              <w:rPr>
                <w:rFonts w:hint="eastAsia" w:ascii="Times New Roman" w:hAnsi="Times New Roman" w:eastAsia="宋体" w:cs="Times New Roman"/>
                <w:color w:val="000000"/>
                <w:sz w:val="24"/>
                <w:szCs w:val="24"/>
                <w:lang w:val="en-US" w:eastAsia="zh-CN" w:bidi="ar-SA"/>
              </w:rPr>
            </w:pPr>
            <w:r>
              <w:rPr>
                <w:rFonts w:hint="eastAsia" w:ascii="Times New Roman" w:hAnsi="Times New Roman" w:cs="Times New Roman"/>
                <w:color w:val="000000"/>
                <w:sz w:val="24"/>
                <w:szCs w:val="24"/>
                <w:lang w:val="en-US" w:eastAsia="zh-CN" w:bidi="ar-SA"/>
              </w:rPr>
              <w:t>0</w:t>
            </w:r>
          </w:p>
        </w:tc>
      </w:tr>
    </w:tbl>
    <w:p>
      <w:pPr>
        <w:widowControl/>
        <w:jc w:val="left"/>
        <w:rPr>
          <w:rFonts w:hint="default" w:ascii="Times New Roman" w:hAnsi="Times New Roman" w:cs="Times New Roman"/>
          <w:color w:val="000000"/>
          <w:lang w:bidi="ar-SA"/>
        </w:rPr>
      </w:pP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五、存在的主要问题及改进情况</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shd w:val="clear" w:color="auto" w:fill="FFFFFF"/>
          <w:lang w:val="en-US" w:eastAsia="zh-CN" w:bidi="ar-SA"/>
        </w:rPr>
      </w:pPr>
      <w:r>
        <w:rPr>
          <w:rFonts w:hint="eastAsia" w:ascii="Times New Roman" w:hAnsi="Times New Roman" w:eastAsia="仿宋_GB2312" w:cs="Times New Roman"/>
          <w:color w:val="000000"/>
          <w:sz w:val="32"/>
          <w:szCs w:val="19"/>
          <w:shd w:val="clear" w:color="auto" w:fill="FFFFFF"/>
          <w:lang w:val="en-US" w:eastAsia="zh-CN" w:bidi="ar-SA"/>
        </w:rPr>
        <w:t>2023</w:t>
      </w:r>
      <w:r>
        <w:rPr>
          <w:rFonts w:hint="default" w:ascii="Times New Roman" w:hAnsi="Times New Roman" w:eastAsia="仿宋_GB2312" w:cs="Times New Roman"/>
          <w:color w:val="000000"/>
          <w:sz w:val="32"/>
          <w:szCs w:val="19"/>
          <w:shd w:val="clear" w:color="auto" w:fill="FFFFFF"/>
          <w:lang w:bidi="ar-SA"/>
        </w:rPr>
        <w:t>年，我局政府信息公开工作取得了一定的成效，但工作中也存在一些差距：一是本年度信息公开数量相较去年有所减少；二是政府信息依申请公开办理效率有待进一步提升。</w:t>
      </w:r>
      <w:r>
        <w:rPr>
          <w:rFonts w:hint="eastAsia" w:ascii="Times New Roman" w:hAnsi="Times New Roman" w:eastAsia="仿宋_GB2312" w:cs="Times New Roman"/>
          <w:color w:val="000000"/>
          <w:sz w:val="32"/>
          <w:szCs w:val="19"/>
          <w:shd w:val="clear" w:color="auto" w:fill="FFFFFF"/>
          <w:lang w:val="en-US" w:eastAsia="zh-CN" w:bidi="ar-SA"/>
        </w:rPr>
        <w:t>三是公开信息的系统化和精细化水平有待提升。</w:t>
      </w:r>
    </w:p>
    <w:p>
      <w:pPr>
        <w:pStyle w:val="3"/>
        <w:keepNext w:val="0"/>
        <w:keepLines w:val="0"/>
        <w:pageBreakBefore w:val="0"/>
        <w:widowControl/>
        <w:shd w:val="clear" w:color="auto" w:fill="FFFFFF"/>
        <w:kinsoku/>
        <w:wordWrap/>
        <w:overflowPunct/>
        <w:topLinePunct w:val="0"/>
        <w:autoSpaceDE/>
        <w:autoSpaceDN/>
        <w:bidi w:val="0"/>
        <w:adjustRightInd/>
        <w:snapToGrid/>
        <w:spacing w:beforeAutospacing="0" w:afterAutospacing="0" w:line="600" w:lineRule="exact"/>
        <w:ind w:firstLine="640" w:firstLineChars="200"/>
        <w:jc w:val="both"/>
        <w:textAlignment w:val="auto"/>
        <w:rPr>
          <w:rFonts w:hint="default" w:ascii="Times New Roman" w:hAnsi="Times New Roman" w:eastAsia="仿宋_GB2312" w:cs="Times New Roman"/>
          <w:color w:val="000000"/>
          <w:sz w:val="32"/>
          <w:szCs w:val="19"/>
          <w:lang w:bidi="ar-SA"/>
        </w:rPr>
      </w:pPr>
      <w:r>
        <w:rPr>
          <w:rFonts w:hint="default" w:ascii="Times New Roman" w:hAnsi="Times New Roman" w:eastAsia="仿宋_GB2312" w:cs="Times New Roman"/>
          <w:color w:val="000000"/>
          <w:sz w:val="32"/>
          <w:szCs w:val="19"/>
          <w:shd w:val="clear" w:color="auto" w:fill="FFFFFF"/>
          <w:lang w:bidi="ar-SA"/>
        </w:rPr>
        <w:t>下一步改进措施：一是</w:t>
      </w:r>
      <w:r>
        <w:rPr>
          <w:rFonts w:hint="eastAsia" w:ascii="Times New Roman" w:hAnsi="Times New Roman" w:eastAsia="仿宋_GB2312" w:cs="Times New Roman"/>
          <w:color w:val="000000"/>
          <w:sz w:val="32"/>
          <w:szCs w:val="19"/>
          <w:shd w:val="clear" w:color="auto" w:fill="FFFFFF"/>
          <w:lang w:val="en-US" w:eastAsia="zh-CN" w:bidi="ar-SA"/>
        </w:rPr>
        <w:t>持续推进政务公开标准化、制度化、规范化建设</w:t>
      </w:r>
      <w:r>
        <w:rPr>
          <w:rFonts w:hint="default" w:ascii="Times New Roman" w:hAnsi="Times New Roman" w:eastAsia="仿宋_GB2312" w:cs="Times New Roman"/>
          <w:color w:val="000000"/>
          <w:sz w:val="32"/>
          <w:szCs w:val="19"/>
          <w:shd w:val="clear" w:color="auto" w:fill="FFFFFF"/>
          <w:lang w:bidi="ar-SA"/>
        </w:rPr>
        <w:t>，</w:t>
      </w:r>
      <w:r>
        <w:rPr>
          <w:rFonts w:hint="eastAsia" w:ascii="Times New Roman" w:hAnsi="Times New Roman" w:eastAsia="仿宋_GB2312" w:cs="Times New Roman"/>
          <w:color w:val="000000"/>
          <w:sz w:val="32"/>
          <w:szCs w:val="19"/>
          <w:shd w:val="clear" w:color="auto" w:fill="FFFFFF"/>
          <w:lang w:val="en-US" w:eastAsia="zh-CN" w:bidi="ar-SA"/>
        </w:rPr>
        <w:t>严格执行政府信息公开审查制度</w:t>
      </w:r>
      <w:r>
        <w:rPr>
          <w:rFonts w:hint="default" w:ascii="Times New Roman" w:hAnsi="Times New Roman" w:eastAsia="仿宋_GB2312" w:cs="Times New Roman"/>
          <w:color w:val="000000"/>
          <w:sz w:val="32"/>
          <w:szCs w:val="19"/>
          <w:shd w:val="clear" w:color="auto" w:fill="FFFFFF"/>
          <w:lang w:bidi="ar-SA"/>
        </w:rPr>
        <w:t>，</w:t>
      </w:r>
      <w:r>
        <w:rPr>
          <w:rFonts w:hint="eastAsia" w:ascii="Times New Roman" w:hAnsi="Times New Roman" w:eastAsia="仿宋_GB2312" w:cs="Times New Roman"/>
          <w:color w:val="000000"/>
          <w:sz w:val="32"/>
          <w:szCs w:val="19"/>
          <w:shd w:val="clear" w:color="auto" w:fill="FFFFFF"/>
          <w:lang w:val="en-US" w:eastAsia="zh-CN" w:bidi="ar-SA"/>
        </w:rPr>
        <w:t>持续优化局政务公开标准目录。</w:t>
      </w:r>
      <w:r>
        <w:rPr>
          <w:rFonts w:hint="default" w:ascii="Times New Roman" w:hAnsi="Times New Roman" w:eastAsia="仿宋_GB2312" w:cs="Times New Roman"/>
          <w:color w:val="000000"/>
          <w:sz w:val="32"/>
          <w:szCs w:val="19"/>
          <w:shd w:val="clear" w:color="auto" w:fill="FFFFFF"/>
          <w:lang w:bidi="ar-SA"/>
        </w:rPr>
        <w:t>二是</w:t>
      </w:r>
      <w:r>
        <w:rPr>
          <w:rFonts w:hint="eastAsia" w:ascii="Times New Roman" w:hAnsi="Times New Roman" w:eastAsia="仿宋_GB2312" w:cs="Times New Roman"/>
          <w:color w:val="000000"/>
          <w:sz w:val="32"/>
          <w:szCs w:val="19"/>
          <w:shd w:val="clear" w:color="auto" w:fill="FFFFFF"/>
          <w:lang w:val="en-US" w:eastAsia="zh-CN" w:bidi="ar-SA"/>
        </w:rPr>
        <w:t>加强信息公开平台维护</w:t>
      </w:r>
      <w:r>
        <w:rPr>
          <w:rFonts w:hint="default" w:ascii="Times New Roman" w:hAnsi="Times New Roman" w:eastAsia="仿宋_GB2312" w:cs="Times New Roman"/>
          <w:color w:val="000000"/>
          <w:sz w:val="32"/>
          <w:szCs w:val="19"/>
          <w:shd w:val="clear" w:color="auto" w:fill="FFFFFF"/>
          <w:lang w:bidi="ar-SA"/>
        </w:rPr>
        <w:t>，严格</w:t>
      </w:r>
      <w:r>
        <w:rPr>
          <w:rFonts w:hint="eastAsia" w:ascii="Times New Roman" w:hAnsi="Times New Roman" w:eastAsia="仿宋_GB2312" w:cs="Times New Roman"/>
          <w:color w:val="000000"/>
          <w:sz w:val="32"/>
          <w:szCs w:val="19"/>
          <w:shd w:val="clear" w:color="auto" w:fill="FFFFFF"/>
          <w:lang w:val="en-US" w:eastAsia="zh-CN" w:bidi="ar-SA"/>
        </w:rPr>
        <w:t>落实局门户网站专栏的日常检查、维护和更新工作，确保数据同源，深</w:t>
      </w:r>
      <w:r>
        <w:rPr>
          <w:rFonts w:hint="default" w:ascii="Times New Roman" w:hAnsi="Times New Roman" w:eastAsia="仿宋_GB2312" w:cs="Times New Roman"/>
          <w:color w:val="000000"/>
          <w:sz w:val="32"/>
          <w:szCs w:val="19"/>
          <w:shd w:val="clear" w:color="auto" w:fill="FFFFFF"/>
          <w:lang w:bidi="ar-SA"/>
        </w:rPr>
        <w:t>入挖掘信息资源，及时发布政务信息，更新工作动态，提升202</w:t>
      </w:r>
      <w:r>
        <w:rPr>
          <w:rFonts w:hint="eastAsia" w:ascii="Times New Roman" w:hAnsi="Times New Roman"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年度信息公开数量</w:t>
      </w:r>
      <w:r>
        <w:rPr>
          <w:rFonts w:hint="eastAsia" w:ascii="Times New Roman" w:hAnsi="Times New Roman" w:eastAsia="仿宋_GB2312" w:cs="Times New Roman"/>
          <w:color w:val="000000"/>
          <w:sz w:val="32"/>
          <w:szCs w:val="19"/>
          <w:shd w:val="clear" w:color="auto" w:fill="FFFFFF"/>
          <w:lang w:eastAsia="zh-CN" w:bidi="ar-SA"/>
        </w:rPr>
        <w:t>。</w:t>
      </w:r>
      <w:r>
        <w:rPr>
          <w:rFonts w:hint="eastAsia" w:ascii="Times New Roman" w:hAnsi="Times New Roman" w:eastAsia="仿宋_GB2312" w:cs="Times New Roman"/>
          <w:color w:val="000000"/>
          <w:sz w:val="32"/>
          <w:szCs w:val="19"/>
          <w:shd w:val="clear" w:color="auto" w:fill="FFFFFF"/>
          <w:lang w:val="en-US" w:eastAsia="zh-CN" w:bidi="ar-SA"/>
        </w:rPr>
        <w:t>三是提升依申请办理质效，</w:t>
      </w:r>
      <w:r>
        <w:rPr>
          <w:rFonts w:hint="default" w:ascii="Times New Roman" w:hAnsi="Times New Roman" w:eastAsia="仿宋_GB2312" w:cs="Times New Roman"/>
          <w:color w:val="000000"/>
          <w:sz w:val="32"/>
          <w:szCs w:val="19"/>
          <w:shd w:val="clear" w:color="auto" w:fill="FFFFFF"/>
          <w:lang w:bidi="ar-SA"/>
        </w:rPr>
        <w:t>按照依申请公开办理工作要求与流程办理依申请公开事项，切实提升办理效率和质量。</w:t>
      </w:r>
    </w:p>
    <w:p>
      <w:pPr>
        <w:pStyle w:val="3"/>
        <w:widowControl/>
        <w:shd w:val="clear" w:color="auto" w:fill="FFFFFF"/>
        <w:spacing w:beforeAutospacing="0" w:afterAutospacing="0"/>
        <w:ind w:firstLine="640" w:firstLineChars="200"/>
        <w:jc w:val="both"/>
        <w:rPr>
          <w:rFonts w:hint="default" w:ascii="Times New Roman" w:hAnsi="Times New Roman" w:eastAsia="黑体" w:cs="Times New Roman"/>
          <w:color w:val="000000"/>
          <w:sz w:val="32"/>
          <w:szCs w:val="19"/>
          <w:lang w:bidi="ar-SA"/>
        </w:rPr>
      </w:pPr>
      <w:r>
        <w:rPr>
          <w:rFonts w:hint="default" w:ascii="Times New Roman" w:hAnsi="Times New Roman" w:eastAsia="黑体" w:cs="Times New Roman"/>
          <w:color w:val="000000"/>
          <w:sz w:val="32"/>
          <w:szCs w:val="19"/>
          <w:shd w:val="clear" w:color="auto" w:fill="FFFFFF"/>
          <w:lang w:bidi="ar-SA"/>
        </w:rPr>
        <w:t>六、其他需要报告的事项</w:t>
      </w:r>
    </w:p>
    <w:p>
      <w:pPr>
        <w:pStyle w:val="3"/>
        <w:widowControl/>
        <w:shd w:val="clear" w:color="auto" w:fill="FFFFFF"/>
        <w:spacing w:beforeAutospacing="0" w:afterAutospacing="0"/>
        <w:ind w:firstLine="640" w:firstLineChars="200"/>
        <w:rPr>
          <w:rFonts w:hint="default" w:ascii="Times New Roman" w:hAnsi="Times New Roman" w:eastAsia="仿宋_GB2312" w:cs="Times New Roman"/>
          <w:color w:val="000000"/>
          <w:sz w:val="32"/>
          <w:szCs w:val="19"/>
          <w:shd w:val="clear" w:color="auto" w:fill="FFFFFF"/>
          <w:lang w:bidi="ar-SA"/>
        </w:rPr>
      </w:pPr>
      <w:r>
        <w:rPr>
          <w:rFonts w:hint="default" w:ascii="Times New Roman" w:hAnsi="Times New Roman" w:eastAsia="仿宋_GB2312" w:cs="Times New Roman"/>
          <w:color w:val="000000"/>
          <w:sz w:val="32"/>
          <w:szCs w:val="19"/>
          <w:shd w:val="clear" w:color="auto" w:fill="FFFFFF"/>
          <w:lang w:bidi="ar-SA"/>
        </w:rPr>
        <w:t>我局202</w:t>
      </w:r>
      <w:r>
        <w:rPr>
          <w:rFonts w:hint="eastAsia" w:ascii="Times New Roman" w:hAnsi="Times New Roman" w:eastAsia="仿宋_GB2312" w:cs="Times New Roman"/>
          <w:color w:val="000000"/>
          <w:sz w:val="32"/>
          <w:szCs w:val="19"/>
          <w:shd w:val="clear" w:color="auto" w:fill="FFFFFF"/>
          <w:lang w:val="en-US" w:eastAsia="zh-CN" w:bidi="ar-SA"/>
        </w:rPr>
        <w:t>3</w:t>
      </w:r>
      <w:r>
        <w:rPr>
          <w:rFonts w:hint="default" w:ascii="Times New Roman" w:hAnsi="Times New Roman" w:eastAsia="仿宋_GB2312" w:cs="Times New Roman"/>
          <w:color w:val="000000"/>
          <w:sz w:val="32"/>
          <w:szCs w:val="19"/>
          <w:shd w:val="clear" w:color="auto" w:fill="FFFFFF"/>
          <w:lang w:bidi="ar-SA"/>
        </w:rPr>
        <w:t>年度不存在收取信息处理费情况。广州开发区知识产权局网站网址</w:t>
      </w:r>
      <w:r>
        <w:rPr>
          <w:rFonts w:hint="eastAsia" w:ascii="Times New Roman" w:hAnsi="Times New Roman" w:eastAsia="仿宋_GB2312" w:cs="Times New Roman"/>
          <w:color w:val="000000"/>
          <w:sz w:val="32"/>
          <w:szCs w:val="19"/>
          <w:shd w:val="clear" w:color="auto" w:fill="FFFFFF"/>
          <w:lang w:eastAsia="zh-CN" w:bidi="ar-SA"/>
        </w:rPr>
        <w:t>：</w:t>
      </w:r>
      <w:r>
        <w:rPr>
          <w:rFonts w:hint="default" w:ascii="Times New Roman" w:hAnsi="Times New Roman" w:eastAsia="仿宋_GB2312" w:cs="Times New Roman"/>
          <w:color w:val="000000"/>
          <w:sz w:val="32"/>
          <w:szCs w:val="19"/>
          <w:shd w:val="clear" w:color="auto" w:fill="FFFFFF"/>
          <w:lang w:bidi="ar-SA"/>
        </w:rPr>
        <w:t>http://www.hp.gov.cn/gzhpzscq/gkmlpt/index，如需了解更多政府信息，请登录查询。联系电话：82111365，联系邮箱：kfqzscqj@gdd.gov.cn。</w:t>
      </w:r>
    </w:p>
    <w:p>
      <w:pPr>
        <w:wordWrap/>
        <w:spacing w:line="560" w:lineRule="exact"/>
        <w:ind w:right="840" w:rightChars="400" w:firstLine="0"/>
        <w:jc w:val="left"/>
      </w:pPr>
      <w:r>
        <w:rPr>
          <w:rFonts w:hint="eastAsia" w:eastAsia="仿宋_GB2312"/>
          <w:sz w:val="32"/>
          <w:szCs w:val="32"/>
          <w:lang w:val="en-US" w:eastAsia="zh-CN"/>
        </w:rPr>
        <w:t xml:space="preserve"> </w:t>
      </w:r>
    </w:p>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703060505090304"/>
    <w:charset w:val="01"/>
    <w:family w:val="auto"/>
    <w:pitch w:val="default"/>
    <w:sig w:usb0="E0000AFF" w:usb1="00007843" w:usb2="00000001" w:usb3="00000000" w:csb0="400001BF" w:csb1="DFF7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90204"/>
    <w:charset w:val="01"/>
    <w:family w:val="swiss"/>
    <w:pitch w:val="default"/>
    <w:sig w:usb0="E0000AFF" w:usb1="00007843" w:usb2="00000001" w:usb3="00000000" w:csb0="400001BF" w:csb1="DFF70000"/>
  </w:font>
  <w:font w:name="黑体">
    <w:panose1 w:val="02010609060101010101"/>
    <w:charset w:val="86"/>
    <w:family w:val="auto"/>
    <w:pitch w:val="default"/>
    <w:sig w:usb0="800002BF" w:usb1="38CF7CFA" w:usb2="00000016" w:usb3="00000000" w:csb0="00040001" w:csb1="00000000"/>
  </w:font>
  <w:font w:name="Courier New">
    <w:panose1 w:val="02070609020205090404"/>
    <w:charset w:val="01"/>
    <w:family w:val="modern"/>
    <w:pitch w:val="default"/>
    <w:sig w:usb0="E0000AFF" w:usb1="40007843" w:usb2="00000001" w:usb3="00000000" w:csb0="400001BF" w:csb1="DFF70000"/>
  </w:font>
  <w:font w:name="Symbol">
    <w:altName w:val="Kingsoft Sign"/>
    <w:panose1 w:val="05050102010706020507"/>
    <w:charset w:val="02"/>
    <w:family w:val="roman"/>
    <w:pitch w:val="default"/>
    <w:sig w:usb0="00000000" w:usb1="00000000" w:usb2="00000000" w:usb3="00000000" w:csb0="80000000" w:csb1="00000000"/>
  </w:font>
  <w:font w:name="Calibri">
    <w:panose1 w:val="020F0702030404030204"/>
    <w:charset w:val="00"/>
    <w:family w:val="swiss"/>
    <w:pitch w:val="default"/>
    <w:sig w:usb0="E10002FF" w:usb1="4000ACFF" w:usb2="00000009" w:usb3="00000000" w:csb0="2000019F" w:csb1="00000000"/>
  </w:font>
  <w:font w:name="方正小标宋简体">
    <w:altName w:val="宋体"/>
    <w:panose1 w:val="03000509000000000000"/>
    <w:charset w:val="00"/>
    <w:family w:val="auto"/>
    <w:pitch w:val="default"/>
    <w:sig w:usb0="00000000" w:usb1="00000000" w:usb2="00000000" w:usb3="00000000" w:csb0="00040000" w:csb1="00000000"/>
  </w:font>
  <w:font w:name="仿宋_GB2312">
    <w:altName w:val="方正仿宋_GBK"/>
    <w:panose1 w:val="02010609030101010101"/>
    <w:charset w:val="86"/>
    <w:family w:val="modern"/>
    <w:pitch w:val="default"/>
    <w:sig w:usb0="00000000" w:usb1="00000000" w:usb2="00000000" w:usb3="00000000" w:csb0="00040000" w:csb1="00000000"/>
  </w:font>
  <w:font w:name="方正仿宋_GBK">
    <w:panose1 w:val="02000000000000000000"/>
    <w:charset w:val="86"/>
    <w:family w:val="auto"/>
    <w:pitch w:val="default"/>
    <w:sig w:usb0="A00002BF" w:usb1="38CF7CFA" w:usb2="00082016" w:usb3="00000000" w:csb0="00040001" w:csb1="00000000"/>
  </w:font>
  <w:font w:name="Kingsoft Sign">
    <w:panose1 w:val="05050102010706020507"/>
    <w:charset w:val="00"/>
    <w:family w:val="auto"/>
    <w:pitch w:val="default"/>
    <w:sig w:usb0="00000000" w:usb1="1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9ECFACD8"/>
    <w:rsid w:val="33FF974C"/>
    <w:rsid w:val="7DAB4BAC"/>
    <w:rsid w:val="7EFFB3C3"/>
    <w:rsid w:val="9ECFACD8"/>
    <w:rsid w:val="F7FFDEBB"/>
    <w:rsid w:val="F9DF9FEA"/>
    <w:rsid w:val="FE7F85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qFormat/>
    <w:uiPriority w:val="0"/>
    <w:pPr>
      <w:spacing w:beforeAutospacing="1" w:afterAutospacing="1"/>
      <w:jc w:val="left"/>
    </w:pPr>
    <w:rPr>
      <w:rFonts w:cs="Times New Roman"/>
      <w:kern w:val="0"/>
      <w:sz w:val="24"/>
      <w:lang w:bidi="ar-SA"/>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22</TotalTime>
  <ScaleCrop>false</ScaleCrop>
  <LinksUpToDate>false</LinksUpToDate>
  <CharactersWithSpaces>0</CharactersWithSpaces>
  <Application>WPS Office_6.4.0.8550_F1E327BC-269C-435d-A152-05C5408002CA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2024-01-22T04:14:00Z</dcterms:created>
  <dc:creator>何静怡</dc:creator>
  <cp:lastModifiedBy>test</cp:lastModifiedBy>
  <dcterms:modified xsi:type="dcterms:W3CDTF">2024-01-30T16:59:21Z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2052-6.4.0.8550</vt:lpwstr>
  </property>
  <property fmtid="{D5CDD505-2E9C-101B-9397-08002B2CF9AE}" pid="3" name="ICV">
    <vt:lpwstr>13018FC8E207B4A135B9AB658556884B_41</vt:lpwstr>
  </property>
</Properties>
</file>