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黑体" w:hAnsi="黑体" w:eastAsia="黑体" w:cs="黑体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z w:val="36"/>
          <w:szCs w:val="36"/>
          <w:lang w:val="en-US" w:eastAsia="zh-CN"/>
        </w:rPr>
        <w:t>黄埔区危运企业动态监控管理工作考核通报</w:t>
      </w:r>
    </w:p>
    <w:p>
      <w:pPr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ascii="FZFSK--GBK1-0" w:hAnsi="FZFSK--GBK1-0" w:eastAsia="FZFSK--GBK1-0" w:cs="FZFSK--GBK1-0"/>
          <w:b w:val="0"/>
          <w:bCs w:val="0"/>
          <w:i w:val="0"/>
          <w:iCs w:val="0"/>
          <w:color w:val="auto"/>
          <w:sz w:val="28"/>
          <w:szCs w:val="28"/>
        </w:rPr>
        <w:t>（</w:t>
      </w:r>
      <w:r>
        <w:rPr>
          <w:rFonts w:ascii="TimesNewRomanPSMT" w:hAnsi="TimesNewRomanPSMT" w:eastAsia="TimesNewRomanPSMT" w:cs="TimesNewRomanPSMT"/>
          <w:b w:val="0"/>
          <w:bCs w:val="0"/>
          <w:i w:val="0"/>
          <w:iCs w:val="0"/>
          <w:color w:val="auto"/>
          <w:sz w:val="28"/>
          <w:szCs w:val="28"/>
        </w:rPr>
        <w:t>2023</w:t>
      </w:r>
      <w:r>
        <w:rPr>
          <w:rFonts w:ascii="FZFSK--GBK1-0" w:hAnsi="FZFSK--GBK1-0" w:eastAsia="FZFSK--GBK1-0" w:cs="FZFSK--GBK1-0"/>
          <w:b w:val="0"/>
          <w:bCs w:val="0"/>
          <w:i w:val="0"/>
          <w:iCs w:val="0"/>
          <w:color w:val="auto"/>
          <w:sz w:val="28"/>
          <w:szCs w:val="28"/>
        </w:rPr>
        <w:t>年</w:t>
      </w:r>
      <w:r>
        <w:rPr>
          <w:rFonts w:ascii="TimesNewRomanPSMT" w:hAnsi="TimesNewRomanPSMT" w:eastAsia="TimesNewRomanPSMT" w:cs="TimesNewRomanPSMT"/>
          <w:b w:val="0"/>
          <w:bCs w:val="0"/>
          <w:i w:val="0"/>
          <w:iCs w:val="0"/>
          <w:color w:val="auto"/>
          <w:sz w:val="28"/>
          <w:szCs w:val="28"/>
        </w:rPr>
        <w:t>9</w:t>
      </w:r>
      <w:r>
        <w:rPr>
          <w:rFonts w:ascii="FZFSK--GBK1-0" w:hAnsi="FZFSK--GBK1-0" w:eastAsia="FZFSK--GBK1-0" w:cs="FZFSK--GBK1-0"/>
          <w:b w:val="0"/>
          <w:bCs w:val="0"/>
          <w:i w:val="0"/>
          <w:iCs w:val="0"/>
          <w:color w:val="auto"/>
          <w:sz w:val="28"/>
          <w:szCs w:val="28"/>
        </w:rPr>
        <w:t>月）</w:t>
      </w: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</w:p>
    <w:tbl>
      <w:tblPr>
        <w:tblStyle w:val="3"/>
        <w:tblW w:w="9360" w:type="dxa"/>
        <w:tblInd w:w="-2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3312"/>
        <w:gridCol w:w="768"/>
        <w:gridCol w:w="1008"/>
        <w:gridCol w:w="876"/>
        <w:gridCol w:w="816"/>
        <w:gridCol w:w="828"/>
        <w:gridCol w:w="684"/>
        <w:gridCol w:w="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业户名称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周期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需监管车辆(辆)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考核总得分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全省上期排名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全市上期排名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全省排名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全市排名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广州联穗能源供应有限公司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81.23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广州捷昇物流供应链有限公司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81.23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日通汽车物流（中国）有限公司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81.23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广州茂捷运输有限公司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81.23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广州市安诚达运输有限公司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81.23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广州金盛物流有限公司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81.22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广州市广石朗信运输发展有限公司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81.21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广州绿保物流有限公司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81.14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广州穗珠运输有限公司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81.04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广州中冠安泰石化物流有限公司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80.84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林德气体（广州）有限公司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80.13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安之达国际物流（广州）有限公司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79.85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空气化工产品（广州）有限公司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79.75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广州市穗龙物流有限公司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79.72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广州竞驰物流有限公司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79.71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广州经济技术开发区建中运输有限公司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79.69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广州汇淳沅石油化工有限公司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79.66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广州江洋物流有限公司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79.63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广州英凯运输有限公司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79.47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广州龙凤物流有限公司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79.45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广州市优道运输有限公司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78.95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广州市世昌运输有限公司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77.82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广州安冠运输有限公司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77.68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广州信捷石油天然气有限公司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77.49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广州市黄埔穗兴储运公司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76.84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广州凯迅供应链有限公司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76.15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893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广州新宜运输有限公司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76.1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广州中远海运船舶供应有限公司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75.91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广州市途胜物流有限公司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75.91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广州市广石物流有限公司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75.85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广州捷世通物流股份有限公司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75.62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广州市华威物流有限公司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75.24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广州富创物流供应链有限公司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74.08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广州市挚联危险品货运有限公司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73.88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835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广州市业和燃料运输有限公司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72.39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893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广州市黄埔致发运输工贸发展有限公司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71.39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广州市凡之运输有限责任公司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71.26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广州澳盛物流有限公司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70.89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广州艺安物流有限公司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70.72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广州市元利物流有限公司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70.51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广州市骏驿物流有限公司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70.49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广州市昌联储运有限公司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63.61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1032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F178C"/>
    <w:rsid w:val="369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99"/>
    <w:pPr>
      <w:spacing w:line="600" w:lineRule="atLeast"/>
      <w:ind w:left="420" w:leftChars="200" w:firstLine="819" w:firstLineChars="200"/>
    </w:pPr>
    <w:rPr>
      <w:rFonts w:hint="eastAsia"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2023-10-26T09:54:00Z</dcterms:created>
  <dc:creator>QuQ</dc:creator>
  <cp:lastModifiedBy>QuQ</cp:lastModifiedBy>
  <dcterms:modified xsi:type="dcterms:W3CDTF">2023-10-26T09:54:29Z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486AF07BDF834D0982A196AEEEFEF308</vt:lpwstr>
  </property>
</Properties>
</file>