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964" w:firstLineChars="300"/>
        <w:jc w:val="center"/>
        <w:rPr>
          <w:rFonts w:hint="eastAsia" w:ascii="仿宋_GB2312" w:hAnsi="仿宋_GB2312" w:eastAsia="仿宋_GB2312" w:cs="仿宋_GB2312"/>
          <w:b/>
          <w:i w:val="0"/>
          <w:snapToGrid/>
          <w:color w:val="auto"/>
          <w:sz w:val="32"/>
          <w:szCs w:val="32"/>
          <w:u w:val="none"/>
          <w:lang w:eastAsia="zh-CN"/>
        </w:rPr>
      </w:pPr>
      <w:r>
        <w:rPr>
          <w:rFonts w:hint="eastAsia" w:ascii="仿宋_GB2312" w:hAnsi="仿宋_GB2312" w:eastAsia="仿宋_GB2312" w:cs="仿宋_GB2312"/>
          <w:b/>
          <w:i w:val="0"/>
          <w:snapToGrid/>
          <w:color w:val="auto"/>
          <w:sz w:val="32"/>
          <w:szCs w:val="32"/>
          <w:u w:val="none"/>
          <w:lang w:eastAsia="zh-CN"/>
        </w:rPr>
        <w:t>评审综合评分表</w:t>
      </w:r>
    </w:p>
    <w:p>
      <w:pPr>
        <w:widowControl w:val="0"/>
        <w:spacing w:before="0" w:after="0" w:line="360" w:lineRule="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评分总值最高为100分,技术商务及价格评分分值(权重)分配:</w:t>
      </w:r>
    </w:p>
    <w:tbl>
      <w:tblPr>
        <w:tblStyle w:val="7"/>
        <w:tblpPr w:leftFromText="180" w:rightFromText="180" w:vertAnchor="text" w:horzAnchor="page" w:tblpX="1967" w:tblpY="30"/>
        <w:tblOverlap w:val="never"/>
        <w:tblW w:w="870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42"/>
        <w:gridCol w:w="1620"/>
        <w:gridCol w:w="1800"/>
        <w:gridCol w:w="1800"/>
        <w:gridCol w:w="14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5" w:hRule="atLeast"/>
        </w:trPr>
        <w:tc>
          <w:tcPr>
            <w:tcW w:w="2042"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评分项目</w:t>
            </w:r>
          </w:p>
        </w:tc>
        <w:tc>
          <w:tcPr>
            <w:tcW w:w="162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技术部分</w:t>
            </w:r>
          </w:p>
        </w:tc>
        <w:tc>
          <w:tcPr>
            <w:tcW w:w="180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商务部分</w:t>
            </w:r>
          </w:p>
        </w:tc>
        <w:tc>
          <w:tcPr>
            <w:tcW w:w="180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价格部分</w:t>
            </w:r>
          </w:p>
        </w:tc>
        <w:tc>
          <w:tcPr>
            <w:tcW w:w="1440" w:type="dxa"/>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合  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2042"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权重(总和100%)</w:t>
            </w:r>
          </w:p>
        </w:tc>
        <w:tc>
          <w:tcPr>
            <w:tcW w:w="162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45</w:t>
            </w:r>
            <w:r>
              <w:rPr>
                <w:rFonts w:hint="eastAsia" w:ascii="仿宋" w:hAnsi="仿宋" w:eastAsia="仿宋" w:cs="仿宋"/>
                <w:color w:val="auto"/>
                <w:sz w:val="30"/>
                <w:szCs w:val="30"/>
                <w:highlight w:val="none"/>
              </w:rPr>
              <w:t>%</w:t>
            </w:r>
          </w:p>
        </w:tc>
        <w:tc>
          <w:tcPr>
            <w:tcW w:w="180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30</w:t>
            </w:r>
            <w:r>
              <w:rPr>
                <w:rFonts w:hint="eastAsia" w:ascii="仿宋" w:hAnsi="仿宋" w:eastAsia="仿宋" w:cs="仿宋"/>
                <w:color w:val="auto"/>
                <w:sz w:val="30"/>
                <w:szCs w:val="30"/>
                <w:highlight w:val="none"/>
              </w:rPr>
              <w:t>%</w:t>
            </w:r>
          </w:p>
        </w:tc>
        <w:tc>
          <w:tcPr>
            <w:tcW w:w="180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25</w:t>
            </w:r>
            <w:r>
              <w:rPr>
                <w:rFonts w:hint="eastAsia" w:ascii="仿宋" w:hAnsi="仿宋" w:eastAsia="仿宋" w:cs="仿宋"/>
                <w:color w:val="auto"/>
                <w:sz w:val="30"/>
                <w:szCs w:val="30"/>
                <w:highlight w:val="none"/>
              </w:rPr>
              <w:t>%</w:t>
            </w:r>
          </w:p>
        </w:tc>
        <w:tc>
          <w:tcPr>
            <w:tcW w:w="1440" w:type="dxa"/>
          </w:tcPr>
          <w:p>
            <w:pPr>
              <w:spacing w:line="360" w:lineRule="auto"/>
              <w:ind w:firstLine="300" w:firstLineChars="100"/>
              <w:jc w:val="both"/>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042"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满分</w:t>
            </w:r>
          </w:p>
        </w:tc>
        <w:tc>
          <w:tcPr>
            <w:tcW w:w="162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45</w:t>
            </w:r>
            <w:r>
              <w:rPr>
                <w:rFonts w:hint="eastAsia" w:ascii="仿宋" w:hAnsi="仿宋" w:eastAsia="仿宋" w:cs="仿宋"/>
                <w:color w:val="auto"/>
                <w:sz w:val="30"/>
                <w:szCs w:val="30"/>
                <w:highlight w:val="none"/>
              </w:rPr>
              <w:t>分</w:t>
            </w:r>
          </w:p>
        </w:tc>
        <w:tc>
          <w:tcPr>
            <w:tcW w:w="180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30</w:t>
            </w:r>
            <w:r>
              <w:rPr>
                <w:rFonts w:hint="eastAsia" w:ascii="仿宋" w:hAnsi="仿宋" w:eastAsia="仿宋" w:cs="仿宋"/>
                <w:color w:val="auto"/>
                <w:sz w:val="30"/>
                <w:szCs w:val="30"/>
                <w:highlight w:val="none"/>
              </w:rPr>
              <w:t>分</w:t>
            </w:r>
          </w:p>
        </w:tc>
        <w:tc>
          <w:tcPr>
            <w:tcW w:w="180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25</w:t>
            </w:r>
            <w:r>
              <w:rPr>
                <w:rFonts w:hint="eastAsia" w:ascii="仿宋" w:hAnsi="仿宋" w:eastAsia="仿宋" w:cs="仿宋"/>
                <w:color w:val="auto"/>
                <w:sz w:val="30"/>
                <w:szCs w:val="30"/>
                <w:highlight w:val="none"/>
              </w:rPr>
              <w:t>分</w:t>
            </w:r>
          </w:p>
        </w:tc>
        <w:tc>
          <w:tcPr>
            <w:tcW w:w="1440" w:type="dxa"/>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100分</w:t>
            </w:r>
          </w:p>
        </w:tc>
      </w:tr>
    </w:tbl>
    <w:p>
      <w:pPr>
        <w:pStyle w:val="4"/>
        <w:rPr>
          <w:rFonts w:hint="eastAsia"/>
        </w:rPr>
      </w:pPr>
    </w:p>
    <w:p>
      <w:pPr>
        <w:spacing w:after="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附表</w:t>
      </w:r>
      <w:r>
        <w:rPr>
          <w:rFonts w:hint="eastAsia" w:ascii="仿宋" w:hAnsi="仿宋" w:eastAsia="仿宋" w:cs="仿宋"/>
          <w:color w:val="auto"/>
          <w:sz w:val="30"/>
          <w:szCs w:val="30"/>
          <w:highlight w:val="none"/>
          <w:lang w:val="en-US" w:eastAsia="zh-CN"/>
        </w:rPr>
        <w:t>一</w:t>
      </w:r>
      <w:r>
        <w:rPr>
          <w:rFonts w:hint="eastAsia" w:ascii="仿宋" w:hAnsi="仿宋" w:eastAsia="仿宋" w:cs="仿宋"/>
          <w:color w:val="auto"/>
          <w:sz w:val="30"/>
          <w:szCs w:val="30"/>
          <w:highlight w:val="none"/>
        </w:rPr>
        <w:t>:技术评分表(</w:t>
      </w:r>
      <w:r>
        <w:rPr>
          <w:rFonts w:hint="eastAsia" w:ascii="仿宋" w:hAnsi="仿宋" w:eastAsia="仿宋" w:cs="仿宋"/>
          <w:color w:val="auto"/>
          <w:sz w:val="30"/>
          <w:szCs w:val="30"/>
          <w:highlight w:val="none"/>
          <w:lang w:val="en-US" w:eastAsia="zh-CN"/>
        </w:rPr>
        <w:t>45</w:t>
      </w:r>
      <w:r>
        <w:rPr>
          <w:rFonts w:hint="eastAsia" w:ascii="仿宋" w:hAnsi="仿宋" w:eastAsia="仿宋" w:cs="仿宋"/>
          <w:color w:val="auto"/>
          <w:sz w:val="30"/>
          <w:szCs w:val="30"/>
          <w:highlight w:val="none"/>
        </w:rPr>
        <w:t>分)</w:t>
      </w:r>
    </w:p>
    <w:tbl>
      <w:tblPr>
        <w:tblStyle w:val="7"/>
        <w:tblW w:w="505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31"/>
        <w:gridCol w:w="1877"/>
        <w:gridCol w:w="890"/>
        <w:gridCol w:w="5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blHeader/>
          <w:jc w:val="center"/>
        </w:trPr>
        <w:tc>
          <w:tcPr>
            <w:tcW w:w="376"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9"/>
                <w:rFonts w:hint="eastAsia" w:ascii="仿宋" w:hAnsi="仿宋" w:eastAsia="仿宋" w:cs="仿宋"/>
                <w:b/>
                <w:color w:val="auto"/>
                <w:sz w:val="30"/>
                <w:szCs w:val="30"/>
                <w:highlight w:val="none"/>
              </w:rPr>
            </w:pPr>
            <w:r>
              <w:rPr>
                <w:rStyle w:val="9"/>
                <w:rFonts w:hint="eastAsia" w:ascii="仿宋" w:hAnsi="仿宋" w:eastAsia="仿宋" w:cs="仿宋"/>
                <w:b/>
                <w:color w:val="auto"/>
                <w:sz w:val="30"/>
                <w:szCs w:val="30"/>
                <w:highlight w:val="none"/>
              </w:rPr>
              <w:t>序号</w:t>
            </w:r>
          </w:p>
        </w:tc>
        <w:tc>
          <w:tcPr>
            <w:tcW w:w="1115"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b/>
                <w:color w:val="auto"/>
                <w:sz w:val="30"/>
                <w:szCs w:val="30"/>
                <w:highlight w:val="none"/>
              </w:rPr>
            </w:pPr>
            <w:r>
              <w:rPr>
                <w:rStyle w:val="9"/>
                <w:rFonts w:hint="eastAsia" w:ascii="仿宋" w:hAnsi="仿宋" w:eastAsia="仿宋" w:cs="仿宋"/>
                <w:b/>
                <w:color w:val="auto"/>
                <w:sz w:val="30"/>
                <w:szCs w:val="30"/>
                <w:highlight w:val="none"/>
              </w:rPr>
              <w:t>评审内容</w:t>
            </w:r>
          </w:p>
        </w:tc>
        <w:tc>
          <w:tcPr>
            <w:tcW w:w="52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b/>
                <w:color w:val="auto"/>
                <w:sz w:val="30"/>
                <w:szCs w:val="30"/>
                <w:highlight w:val="none"/>
              </w:rPr>
            </w:pPr>
            <w:r>
              <w:rPr>
                <w:rStyle w:val="9"/>
                <w:rFonts w:hint="eastAsia" w:ascii="仿宋" w:hAnsi="仿宋" w:eastAsia="仿宋" w:cs="仿宋"/>
                <w:b/>
                <w:color w:val="auto"/>
                <w:sz w:val="30"/>
                <w:szCs w:val="30"/>
                <w:highlight w:val="none"/>
              </w:rPr>
              <w:t>分项分值</w:t>
            </w:r>
          </w:p>
        </w:tc>
        <w:tc>
          <w:tcPr>
            <w:tcW w:w="2978"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b/>
                <w:color w:val="auto"/>
                <w:sz w:val="30"/>
                <w:szCs w:val="30"/>
                <w:highlight w:val="none"/>
              </w:rPr>
            </w:pPr>
            <w:r>
              <w:rPr>
                <w:rStyle w:val="9"/>
                <w:rFonts w:hint="eastAsia" w:ascii="仿宋" w:hAnsi="仿宋" w:eastAsia="仿宋" w:cs="仿宋"/>
                <w:b/>
                <w:color w:val="auto"/>
                <w:sz w:val="30"/>
                <w:szCs w:val="30"/>
                <w:highlight w:val="none"/>
              </w:rPr>
              <w:t>评分细则及分值范围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76" w:type="pct"/>
            <w:tcBorders>
              <w:top w:val="single" w:color="000000" w:sz="4" w:space="0"/>
              <w:left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lang w:val="en-US" w:eastAsia="zh-CN"/>
              </w:rPr>
            </w:pPr>
            <w:r>
              <w:rPr>
                <w:rStyle w:val="9"/>
                <w:rFonts w:hint="eastAsia" w:ascii="仿宋" w:hAnsi="仿宋" w:eastAsia="仿宋" w:cs="仿宋"/>
                <w:color w:val="auto"/>
                <w:sz w:val="30"/>
                <w:szCs w:val="30"/>
                <w:highlight w:val="none"/>
                <w:lang w:val="en-US" w:eastAsia="zh-CN"/>
              </w:rPr>
              <w:t>1</w:t>
            </w:r>
          </w:p>
        </w:tc>
        <w:tc>
          <w:tcPr>
            <w:tcW w:w="1115" w:type="pct"/>
            <w:tcBorders>
              <w:top w:val="single" w:color="000000" w:sz="4" w:space="0"/>
              <w:left w:val="single" w:color="000000" w:sz="4" w:space="0"/>
              <w:right w:val="single" w:color="000000" w:sz="4" w:space="0"/>
            </w:tcBorders>
            <w:vAlign w:val="center"/>
          </w:tcPr>
          <w:p>
            <w:pPr>
              <w:widowControl w:val="0"/>
              <w:spacing w:line="360" w:lineRule="auto"/>
              <w:jc w:val="center"/>
              <w:rPr>
                <w:rStyle w:val="8"/>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项目实施方案 (</w:t>
            </w:r>
            <w:r>
              <w:rPr>
                <w:rFonts w:hint="eastAsia" w:ascii="仿宋" w:hAnsi="仿宋" w:eastAsia="仿宋" w:cs="仿宋"/>
                <w:color w:val="auto"/>
                <w:sz w:val="30"/>
                <w:szCs w:val="30"/>
                <w:highlight w:val="none"/>
                <w:lang w:val="en-US" w:eastAsia="zh-CN"/>
              </w:rPr>
              <w:t>15</w:t>
            </w:r>
            <w:r>
              <w:rPr>
                <w:rFonts w:hint="eastAsia" w:ascii="仿宋" w:hAnsi="仿宋" w:eastAsia="仿宋" w:cs="仿宋"/>
                <w:color w:val="auto"/>
                <w:sz w:val="30"/>
                <w:szCs w:val="30"/>
                <w:highlight w:val="none"/>
              </w:rPr>
              <w:t>.0分)</w:t>
            </w:r>
          </w:p>
        </w:tc>
        <w:tc>
          <w:tcPr>
            <w:tcW w:w="529" w:type="pct"/>
            <w:tcBorders>
              <w:top w:val="single" w:color="000000" w:sz="4" w:space="0"/>
              <w:left w:val="single" w:color="000000" w:sz="4" w:space="0"/>
              <w:right w:val="single" w:color="000000" w:sz="4" w:space="0"/>
            </w:tcBorders>
            <w:vAlign w:val="center"/>
          </w:tcPr>
          <w:p>
            <w:pPr>
              <w:widowControl w:val="0"/>
              <w:snapToGrid/>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color w:val="auto"/>
                <w:sz w:val="30"/>
                <w:szCs w:val="30"/>
                <w:highlight w:val="none"/>
                <w:lang w:val="en-US" w:eastAsia="zh-CN"/>
              </w:rPr>
              <w:t>15</w:t>
            </w:r>
            <w:r>
              <w:rPr>
                <w:rStyle w:val="8"/>
                <w:rFonts w:hint="eastAsia" w:ascii="仿宋" w:hAnsi="仿宋" w:eastAsia="仿宋" w:cs="仿宋"/>
                <w:color w:val="auto"/>
                <w:sz w:val="30"/>
                <w:szCs w:val="30"/>
                <w:highlight w:val="none"/>
              </w:rPr>
              <w:t>分</w:t>
            </w:r>
          </w:p>
        </w:tc>
        <w:tc>
          <w:tcPr>
            <w:tcW w:w="2978" w:type="pct"/>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420" w:lineRule="exact"/>
              <w:jc w:val="both"/>
              <w:textAlignment w:val="auto"/>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eastAsia="zh-CN"/>
              </w:rPr>
              <w:t>对投标人有关项目理解、提供服务方案的总体原则思路和技术路线进行打分</w:t>
            </w:r>
            <w:r>
              <w:rPr>
                <w:rFonts w:hint="eastAsia" w:ascii="宋体" w:hAnsi="宋体" w:eastAsia="宋体" w:cs="宋体"/>
                <w:color w:val="auto"/>
                <w:kern w:val="0"/>
                <w:sz w:val="24"/>
                <w:szCs w:val="24"/>
                <w:highlight w:val="none"/>
                <w:lang w:val="en-US"/>
              </w:rPr>
              <w:t>:</w:t>
            </w:r>
          </w:p>
          <w:p>
            <w:pPr>
              <w:pStyle w:val="10"/>
              <w:keepNext w:val="0"/>
              <w:keepLines w:val="0"/>
              <w:pageBreakBefore w:val="0"/>
              <w:kinsoku/>
              <w:wordWrap/>
              <w:overflowPunct/>
              <w:topLinePunct w:val="0"/>
              <w:bidi w:val="0"/>
              <w:spacing w:line="420" w:lineRule="exact"/>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rPr>
              <w:t>服务方案所采用的技术路线清晰､科学合理,可行性很强,切实保障真实反映现状,得</w:t>
            </w:r>
            <w:r>
              <w:rPr>
                <w:rFonts w:hint="eastAsia" w:ascii="宋体" w:hAnsi="宋体" w:eastAsia="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lang w:val="en-US"/>
              </w:rPr>
              <w:t>分</w:t>
            </w:r>
            <w:r>
              <w:rPr>
                <w:rFonts w:hint="eastAsia" w:ascii="宋体" w:hAnsi="宋体" w:cs="宋体"/>
                <w:color w:val="auto"/>
                <w:kern w:val="0"/>
                <w:sz w:val="24"/>
                <w:szCs w:val="24"/>
                <w:highlight w:val="none"/>
                <w:lang w:val="en-US" w:eastAsia="zh-CN"/>
              </w:rPr>
              <w:t>；</w:t>
            </w:r>
          </w:p>
          <w:p>
            <w:pPr>
              <w:pStyle w:val="10"/>
              <w:keepNext w:val="0"/>
              <w:keepLines w:val="0"/>
              <w:pageBreakBefore w:val="0"/>
              <w:kinsoku/>
              <w:wordWrap/>
              <w:overflowPunct/>
              <w:topLinePunct w:val="0"/>
              <w:bidi w:val="0"/>
              <w:spacing w:line="420" w:lineRule="exact"/>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rPr>
              <w:t>服务方案所采用的技术路线较为科学､合理,可行性强,能够真实反映现状,得</w:t>
            </w: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val="en-US"/>
              </w:rPr>
              <w:t>分</w:t>
            </w:r>
            <w:r>
              <w:rPr>
                <w:rFonts w:hint="eastAsia" w:ascii="宋体" w:hAnsi="宋体" w:cs="宋体"/>
                <w:color w:val="auto"/>
                <w:kern w:val="0"/>
                <w:sz w:val="24"/>
                <w:szCs w:val="24"/>
                <w:highlight w:val="none"/>
                <w:lang w:val="en-US" w:eastAsia="zh-CN"/>
              </w:rPr>
              <w:t>；</w:t>
            </w:r>
          </w:p>
          <w:p>
            <w:pPr>
              <w:pStyle w:val="10"/>
              <w:keepNext w:val="0"/>
              <w:keepLines w:val="0"/>
              <w:pageBreakBefore w:val="0"/>
              <w:kinsoku/>
              <w:wordWrap/>
              <w:overflowPunct/>
              <w:topLinePunct w:val="0"/>
              <w:bidi w:val="0"/>
              <w:spacing w:line="420" w:lineRule="exact"/>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rPr>
              <w:t>服务方案所采用的技术路线模糊,或仅具备一定科学性､合理性､可行性,难以真实反映现状,得</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rPr>
              <w:t>分</w:t>
            </w:r>
            <w:r>
              <w:rPr>
                <w:rFonts w:hint="eastAsia" w:ascii="宋体" w:hAnsi="宋体" w:cs="宋体"/>
                <w:color w:val="auto"/>
                <w:kern w:val="0"/>
                <w:sz w:val="24"/>
                <w:szCs w:val="24"/>
                <w:highlight w:val="none"/>
                <w:lang w:val="en-US" w:eastAsia="zh-CN"/>
              </w:rPr>
              <w:t>；</w:t>
            </w:r>
          </w:p>
          <w:p>
            <w:pPr>
              <w:widowControl/>
              <w:numPr>
                <w:ilvl w:val="-1"/>
                <w:numId w:val="0"/>
              </w:numPr>
              <w:snapToGrid w:val="0"/>
              <w:spacing w:line="360" w:lineRule="auto"/>
              <w:ind w:left="0" w:firstLine="0" w:firstLineChars="0"/>
              <w:rPr>
                <w:rFonts w:hint="eastAsia" w:ascii="仿宋" w:hAnsi="仿宋" w:eastAsia="仿宋" w:cs="仿宋"/>
                <w:color w:val="auto"/>
                <w:sz w:val="30"/>
                <w:szCs w:val="30"/>
                <w:highlight w:val="none"/>
              </w:rPr>
            </w:pPr>
            <w:r>
              <w:rPr>
                <w:rFonts w:hint="eastAsia" w:ascii="宋体" w:hAnsi="宋体" w:eastAsia="宋体" w:cs="宋体"/>
                <w:color w:val="auto"/>
                <w:kern w:val="0"/>
                <w:sz w:val="24"/>
                <w:szCs w:val="24"/>
                <w:highlight w:val="none"/>
              </w:rPr>
              <w:t>其他情况不得分｡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76"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lang w:val="en-US" w:eastAsia="zh-CN"/>
              </w:rPr>
            </w:pPr>
            <w:r>
              <w:rPr>
                <w:rStyle w:val="9"/>
                <w:rFonts w:hint="eastAsia" w:ascii="仿宋" w:hAnsi="仿宋" w:eastAsia="仿宋" w:cs="仿宋"/>
                <w:color w:val="auto"/>
                <w:sz w:val="30"/>
                <w:szCs w:val="30"/>
                <w:highlight w:val="none"/>
                <w:lang w:val="en-US" w:eastAsia="zh-CN"/>
              </w:rPr>
              <w:t>2</w:t>
            </w:r>
          </w:p>
        </w:tc>
        <w:tc>
          <w:tcPr>
            <w:tcW w:w="1115" w:type="pct"/>
            <w:tcBorders>
              <w:top w:val="single" w:color="000000" w:sz="4" w:space="0"/>
              <w:left w:val="single" w:color="000000" w:sz="4" w:space="0"/>
              <w:bottom w:val="single" w:color="000000" w:sz="4" w:space="0"/>
              <w:right w:val="single" w:color="000000" w:sz="4" w:space="0"/>
            </w:tcBorders>
            <w:vAlign w:val="center"/>
          </w:tcPr>
          <w:p>
            <w:pPr>
              <w:widowControl w:val="0"/>
              <w:spacing w:line="360" w:lineRule="auto"/>
              <w:jc w:val="center"/>
              <w:rPr>
                <w:rStyle w:val="8"/>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fr-FR"/>
              </w:rPr>
              <w:t>突发事件应急保障措施､应急预案</w:t>
            </w:r>
            <w:r>
              <w:rPr>
                <w:rFonts w:hint="eastAsia" w:ascii="仿宋" w:hAnsi="仿宋" w:eastAsia="仿宋" w:cs="仿宋"/>
                <w:color w:val="auto"/>
                <w:sz w:val="30"/>
                <w:szCs w:val="30"/>
                <w:highlight w:val="none"/>
              </w:rPr>
              <w:t xml:space="preserve"> (</w:t>
            </w:r>
            <w:r>
              <w:rPr>
                <w:rFonts w:hint="eastAsia" w:ascii="仿宋" w:hAnsi="仿宋" w:eastAsia="仿宋" w:cs="仿宋"/>
                <w:color w:val="auto"/>
                <w:sz w:val="30"/>
                <w:szCs w:val="30"/>
                <w:highlight w:val="none"/>
                <w:lang w:val="en-US" w:eastAsia="zh-CN"/>
              </w:rPr>
              <w:t>15</w:t>
            </w:r>
            <w:r>
              <w:rPr>
                <w:rFonts w:hint="eastAsia" w:ascii="仿宋" w:hAnsi="仿宋" w:eastAsia="仿宋" w:cs="仿宋"/>
                <w:color w:val="auto"/>
                <w:sz w:val="30"/>
                <w:szCs w:val="30"/>
                <w:highlight w:val="none"/>
              </w:rPr>
              <w:t>.0分)</w:t>
            </w:r>
          </w:p>
        </w:tc>
        <w:tc>
          <w:tcPr>
            <w:tcW w:w="529" w:type="pct"/>
            <w:tcBorders>
              <w:top w:val="single" w:color="000000" w:sz="4" w:space="0"/>
              <w:left w:val="single" w:color="000000" w:sz="4" w:space="0"/>
              <w:bottom w:val="single" w:color="000000" w:sz="4" w:space="0"/>
              <w:right w:val="single" w:color="000000" w:sz="4" w:space="0"/>
            </w:tcBorders>
            <w:vAlign w:val="center"/>
          </w:tcPr>
          <w:p>
            <w:pPr>
              <w:widowControl w:val="0"/>
              <w:snapToGrid/>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color w:val="auto"/>
                <w:sz w:val="30"/>
                <w:szCs w:val="30"/>
                <w:highlight w:val="none"/>
                <w:lang w:val="en-US" w:eastAsia="zh-CN"/>
              </w:rPr>
              <w:t>15</w:t>
            </w:r>
            <w:r>
              <w:rPr>
                <w:rStyle w:val="8"/>
                <w:rFonts w:hint="eastAsia" w:ascii="仿宋" w:hAnsi="仿宋" w:eastAsia="仿宋" w:cs="仿宋"/>
                <w:color w:val="auto"/>
                <w:sz w:val="30"/>
                <w:szCs w:val="30"/>
                <w:highlight w:val="none"/>
              </w:rPr>
              <w:t>分</w:t>
            </w:r>
          </w:p>
        </w:tc>
        <w:tc>
          <w:tcPr>
            <w:tcW w:w="297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420" w:lineRule="exact"/>
              <w:textAlignment w:val="auto"/>
              <w:rPr>
                <w:rFonts w:hint="eastAsia" w:ascii="宋体" w:hAnsi="宋体" w:eastAsia="宋体" w:cs="宋体"/>
                <w:color w:val="auto"/>
                <w:sz w:val="24"/>
                <w:szCs w:val="24"/>
                <w:highlight w:val="none"/>
                <w:lang w:val="fr-FR"/>
              </w:rPr>
            </w:pPr>
            <w:r>
              <w:rPr>
                <w:rFonts w:hint="eastAsia" w:ascii="宋体" w:hAnsi="宋体" w:eastAsia="宋体" w:cs="宋体"/>
                <w:color w:val="auto"/>
                <w:sz w:val="24"/>
                <w:szCs w:val="24"/>
                <w:highlight w:val="none"/>
                <w:lang w:val="fr-FR"/>
              </w:rPr>
              <w:t>对投标人提供的突发事件应急保障措施､应急预案进行</w:t>
            </w:r>
            <w:r>
              <w:rPr>
                <w:rFonts w:hint="eastAsia" w:ascii="宋体" w:hAnsi="宋体" w:eastAsia="宋体" w:cs="宋体"/>
                <w:color w:val="auto"/>
                <w:sz w:val="24"/>
                <w:szCs w:val="24"/>
                <w:highlight w:val="none"/>
                <w:lang w:val="en-US" w:eastAsia="zh-CN"/>
              </w:rPr>
              <w:t>打分</w:t>
            </w:r>
            <w:r>
              <w:rPr>
                <w:rFonts w:hint="eastAsia" w:ascii="宋体" w:hAnsi="宋体" w:eastAsia="宋体" w:cs="宋体"/>
                <w:color w:val="auto"/>
                <w:sz w:val="24"/>
                <w:szCs w:val="24"/>
                <w:highlight w:val="none"/>
                <w:lang w:val="fr-FR"/>
              </w:rPr>
              <w:t>:</w:t>
            </w:r>
          </w:p>
          <w:p>
            <w:pPr>
              <w:keepNext w:val="0"/>
              <w:keepLines w:val="0"/>
              <w:pageBreakBefore w:val="0"/>
              <w:widowControl w:val="0"/>
              <w:kinsoku/>
              <w:wordWrap/>
              <w:overflowPunct/>
              <w:topLinePunct w:val="0"/>
              <w:bidi w:val="0"/>
              <w:spacing w:line="420" w:lineRule="exact"/>
              <w:textAlignment w:val="auto"/>
              <w:rPr>
                <w:rFonts w:hint="eastAsia" w:ascii="宋体" w:hAnsi="宋体" w:eastAsia="宋体" w:cs="宋体"/>
                <w:color w:val="auto"/>
                <w:sz w:val="24"/>
                <w:szCs w:val="24"/>
                <w:highlight w:val="none"/>
                <w:lang w:val="fr-FR" w:eastAsia="zh-CN"/>
              </w:rPr>
            </w:pPr>
            <w:r>
              <w:rPr>
                <w:rFonts w:hint="eastAsia" w:ascii="宋体" w:hAnsi="宋体" w:eastAsia="宋体" w:cs="宋体"/>
                <w:color w:val="auto"/>
                <w:sz w:val="24"/>
                <w:szCs w:val="24"/>
                <w:highlight w:val="none"/>
                <w:lang w:val="fr-FR"/>
              </w:rPr>
              <w:t>措施､方案科学合理､内容完整､详细､切实可行,得</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lang w:val="fr-FR"/>
              </w:rPr>
              <w:t>分</w:t>
            </w:r>
            <w:r>
              <w:rPr>
                <w:rFonts w:hint="eastAsia" w:ascii="宋体" w:hAnsi="宋体" w:eastAsia="宋体" w:cs="宋体"/>
                <w:color w:val="auto"/>
                <w:sz w:val="24"/>
                <w:szCs w:val="24"/>
                <w:highlight w:val="none"/>
                <w:lang w:val="fr-FR" w:eastAsia="zh-CN"/>
              </w:rPr>
              <w:t>；</w:t>
            </w:r>
          </w:p>
          <w:p>
            <w:pPr>
              <w:keepNext w:val="0"/>
              <w:keepLines w:val="0"/>
              <w:pageBreakBefore w:val="0"/>
              <w:widowControl w:val="0"/>
              <w:kinsoku/>
              <w:wordWrap/>
              <w:overflowPunct/>
              <w:topLinePunct w:val="0"/>
              <w:bidi w:val="0"/>
              <w:spacing w:line="420" w:lineRule="exact"/>
              <w:textAlignment w:val="auto"/>
              <w:rPr>
                <w:rFonts w:hint="eastAsia" w:ascii="宋体" w:hAnsi="宋体" w:eastAsia="宋体" w:cs="宋体"/>
                <w:color w:val="auto"/>
                <w:sz w:val="24"/>
                <w:szCs w:val="24"/>
                <w:highlight w:val="none"/>
                <w:lang w:val="fr-FR" w:eastAsia="zh-CN"/>
              </w:rPr>
            </w:pPr>
            <w:r>
              <w:rPr>
                <w:rFonts w:hint="eastAsia" w:ascii="宋体" w:hAnsi="宋体" w:eastAsia="宋体" w:cs="宋体"/>
                <w:color w:val="auto"/>
                <w:sz w:val="24"/>
                <w:szCs w:val="24"/>
                <w:highlight w:val="none"/>
                <w:lang w:val="fr-FR"/>
              </w:rPr>
              <w:t>措施､方案科学比较合理､内容比较完整､比较详细､较可行,得</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val="fr-FR"/>
              </w:rPr>
              <w:t>分</w:t>
            </w:r>
            <w:r>
              <w:rPr>
                <w:rFonts w:hint="eastAsia" w:ascii="宋体" w:hAnsi="宋体" w:eastAsia="宋体" w:cs="宋体"/>
                <w:color w:val="auto"/>
                <w:sz w:val="24"/>
                <w:szCs w:val="24"/>
                <w:highlight w:val="none"/>
                <w:lang w:val="fr-FR" w:eastAsia="zh-CN"/>
              </w:rPr>
              <w:t>；</w:t>
            </w:r>
          </w:p>
          <w:p>
            <w:pPr>
              <w:keepNext w:val="0"/>
              <w:keepLines w:val="0"/>
              <w:pageBreakBefore w:val="0"/>
              <w:widowControl w:val="0"/>
              <w:kinsoku/>
              <w:wordWrap/>
              <w:overflowPunct/>
              <w:topLinePunct w:val="0"/>
              <w:bidi w:val="0"/>
              <w:spacing w:line="420" w:lineRule="exact"/>
              <w:textAlignment w:val="auto"/>
              <w:rPr>
                <w:rFonts w:hint="eastAsia" w:ascii="宋体" w:hAnsi="宋体" w:eastAsia="宋体" w:cs="宋体"/>
                <w:color w:val="auto"/>
                <w:sz w:val="24"/>
                <w:szCs w:val="24"/>
                <w:highlight w:val="none"/>
                <w:lang w:val="fr-FR" w:eastAsia="zh-CN"/>
              </w:rPr>
            </w:pPr>
            <w:r>
              <w:rPr>
                <w:rFonts w:hint="eastAsia" w:ascii="宋体" w:hAnsi="宋体" w:eastAsia="宋体" w:cs="宋体"/>
                <w:color w:val="auto"/>
                <w:sz w:val="24"/>
                <w:szCs w:val="24"/>
                <w:highlight w:val="none"/>
                <w:lang w:val="fr-FR"/>
              </w:rPr>
              <w:t>措施､方案科学基本合理､内容基本完整､基本详细､基本可行,得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fr-FR"/>
              </w:rPr>
              <w:t>分</w:t>
            </w:r>
            <w:r>
              <w:rPr>
                <w:rFonts w:hint="eastAsia" w:ascii="宋体" w:hAnsi="宋体" w:eastAsia="宋体" w:cs="宋体"/>
                <w:color w:val="auto"/>
                <w:sz w:val="24"/>
                <w:szCs w:val="24"/>
                <w:highlight w:val="none"/>
                <w:lang w:val="fr-FR" w:eastAsia="zh-CN"/>
              </w:rPr>
              <w:t>；</w:t>
            </w:r>
          </w:p>
          <w:p>
            <w:pPr>
              <w:widowControl w:val="0"/>
              <w:numPr>
                <w:ilvl w:val="-1"/>
                <w:numId w:val="0"/>
              </w:numPr>
              <w:snapToGrid/>
              <w:spacing w:line="360" w:lineRule="auto"/>
              <w:rPr>
                <w:rStyle w:val="8"/>
                <w:rFonts w:hint="eastAsia" w:ascii="仿宋" w:hAnsi="仿宋" w:eastAsia="仿宋" w:cs="仿宋"/>
                <w:color w:val="auto"/>
                <w:sz w:val="30"/>
                <w:szCs w:val="30"/>
                <w:highlight w:val="none"/>
              </w:rPr>
            </w:pPr>
            <w:r>
              <w:rPr>
                <w:rFonts w:hint="eastAsia" w:ascii="宋体" w:hAnsi="宋体" w:eastAsia="宋体" w:cs="宋体"/>
                <w:color w:val="auto"/>
                <w:sz w:val="24"/>
                <w:szCs w:val="24"/>
                <w:highlight w:val="none"/>
                <w:lang w:val="fr-FR"/>
              </w:rPr>
              <w:t>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76"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default" w:ascii="仿宋" w:hAnsi="仿宋" w:eastAsia="仿宋" w:cs="仿宋"/>
                <w:color w:val="auto"/>
                <w:sz w:val="30"/>
                <w:szCs w:val="30"/>
                <w:highlight w:val="none"/>
                <w:lang w:val="en-US" w:eastAsia="zh-CN"/>
              </w:rPr>
            </w:pPr>
            <w:r>
              <w:rPr>
                <w:rStyle w:val="9"/>
                <w:rFonts w:hint="eastAsia" w:ascii="仿宋" w:hAnsi="仿宋" w:eastAsia="仿宋" w:cs="仿宋"/>
                <w:color w:val="auto"/>
                <w:sz w:val="30"/>
                <w:szCs w:val="30"/>
                <w:highlight w:val="none"/>
                <w:lang w:val="en-US" w:eastAsia="zh-CN"/>
              </w:rPr>
              <w:t>3</w:t>
            </w:r>
          </w:p>
        </w:tc>
        <w:tc>
          <w:tcPr>
            <w:tcW w:w="1115" w:type="pct"/>
            <w:tcBorders>
              <w:top w:val="single" w:color="000000" w:sz="4" w:space="0"/>
              <w:left w:val="single" w:color="000000" w:sz="4" w:space="0"/>
              <w:bottom w:val="single" w:color="000000" w:sz="4" w:space="0"/>
              <w:right w:val="single" w:color="000000" w:sz="4" w:space="0"/>
            </w:tcBorders>
            <w:vAlign w:val="center"/>
          </w:tcPr>
          <w:p>
            <w:pPr>
              <w:spacing w:before="87" w:line="360" w:lineRule="auto"/>
              <w:ind w:left="100" w:right="135" w:firstLine="2"/>
              <w:jc w:val="center"/>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服务质量保证方案及措施(</w:t>
            </w:r>
            <w:r>
              <w:rPr>
                <w:rFonts w:hint="eastAsia" w:ascii="仿宋" w:hAnsi="仿宋" w:eastAsia="仿宋" w:cs="仿宋"/>
                <w:color w:val="auto"/>
                <w:sz w:val="30"/>
                <w:szCs w:val="30"/>
                <w:highlight w:val="none"/>
                <w:lang w:val="en-US" w:eastAsia="zh-CN"/>
              </w:rPr>
              <w:t>15</w:t>
            </w:r>
            <w:r>
              <w:rPr>
                <w:rFonts w:hint="eastAsia" w:ascii="仿宋" w:hAnsi="仿宋" w:eastAsia="仿宋" w:cs="仿宋"/>
                <w:color w:val="auto"/>
                <w:sz w:val="30"/>
                <w:szCs w:val="30"/>
                <w:highlight w:val="none"/>
              </w:rPr>
              <w:t>.0分)</w:t>
            </w:r>
          </w:p>
          <w:p>
            <w:pPr>
              <w:widowControl w:val="0"/>
              <w:spacing w:line="360" w:lineRule="auto"/>
              <w:jc w:val="center"/>
              <w:rPr>
                <w:rFonts w:hint="eastAsia" w:ascii="仿宋" w:hAnsi="仿宋" w:eastAsia="仿宋" w:cs="仿宋"/>
                <w:color w:val="auto"/>
                <w:sz w:val="30"/>
                <w:szCs w:val="30"/>
                <w:highlight w:val="none"/>
                <w:lang w:val="fr-FR"/>
              </w:rPr>
            </w:pPr>
          </w:p>
        </w:tc>
        <w:tc>
          <w:tcPr>
            <w:tcW w:w="529" w:type="pct"/>
            <w:tcBorders>
              <w:top w:val="single" w:color="000000" w:sz="4" w:space="0"/>
              <w:left w:val="single" w:color="000000" w:sz="4" w:space="0"/>
              <w:bottom w:val="single" w:color="000000" w:sz="4" w:space="0"/>
              <w:right w:val="single" w:color="000000" w:sz="4" w:space="0"/>
            </w:tcBorders>
            <w:vAlign w:val="center"/>
          </w:tcPr>
          <w:p>
            <w:pPr>
              <w:widowControl w:val="0"/>
              <w:snapToGrid/>
              <w:spacing w:line="360" w:lineRule="auto"/>
              <w:jc w:val="center"/>
              <w:rPr>
                <w:rStyle w:val="8"/>
                <w:rFonts w:hint="eastAsia" w:ascii="仿宋" w:hAnsi="仿宋" w:eastAsia="仿宋" w:cs="仿宋"/>
                <w:color w:val="auto"/>
                <w:sz w:val="30"/>
                <w:szCs w:val="30"/>
                <w:highlight w:val="none"/>
                <w:lang w:val="en-US" w:eastAsia="zh-CN"/>
              </w:rPr>
            </w:pPr>
            <w:r>
              <w:rPr>
                <w:rStyle w:val="8"/>
                <w:rFonts w:hint="eastAsia" w:ascii="仿宋" w:hAnsi="仿宋" w:eastAsia="仿宋" w:cs="仿宋"/>
                <w:color w:val="auto"/>
                <w:sz w:val="30"/>
                <w:szCs w:val="30"/>
                <w:highlight w:val="none"/>
                <w:lang w:val="en-US" w:eastAsia="zh-CN"/>
              </w:rPr>
              <w:t>15</w:t>
            </w:r>
            <w:r>
              <w:rPr>
                <w:rStyle w:val="8"/>
                <w:rFonts w:hint="eastAsia" w:ascii="仿宋" w:hAnsi="仿宋" w:eastAsia="仿宋" w:cs="仿宋"/>
                <w:color w:val="auto"/>
                <w:sz w:val="30"/>
                <w:szCs w:val="30"/>
                <w:highlight w:val="none"/>
              </w:rPr>
              <w:t>分</w:t>
            </w:r>
          </w:p>
        </w:tc>
        <w:tc>
          <w:tcPr>
            <w:tcW w:w="297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bidi w:val="0"/>
              <w:snapToGrid/>
              <w:spacing w:line="42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根据供应商提供本项目的服务质量保证方案及保证措施进行综合评价：</w:t>
            </w:r>
          </w:p>
          <w:p>
            <w:pPr>
              <w:keepNext w:val="0"/>
              <w:keepLines w:val="0"/>
              <w:pageBreakBefore w:val="0"/>
              <w:widowControl w:val="0"/>
              <w:numPr>
                <w:ilvl w:val="0"/>
                <w:numId w:val="0"/>
              </w:numPr>
              <w:kinsoku/>
              <w:wordWrap/>
              <w:overflowPunct/>
              <w:topLinePunct w:val="0"/>
              <w:bidi w:val="0"/>
              <w:snapToGrid/>
              <w:spacing w:line="42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服务质量保证方案内容全面、完整详细、质量保证措施合理可行，非常有利项目实施，得1</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keepNext w:val="0"/>
              <w:keepLines w:val="0"/>
              <w:pageBreakBefore w:val="0"/>
              <w:widowControl w:val="0"/>
              <w:numPr>
                <w:ilvl w:val="0"/>
                <w:numId w:val="0"/>
              </w:numPr>
              <w:kinsoku/>
              <w:wordWrap/>
              <w:overflowPunct/>
              <w:topLinePunct w:val="0"/>
              <w:bidi w:val="0"/>
              <w:snapToGrid/>
              <w:spacing w:line="42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服务质量保证方案较完整详细、质量保证措施可行性较高，满足项目实施需要，得</w:t>
            </w:r>
            <w:r>
              <w:rPr>
                <w:rFonts w:hint="eastAsia" w:ascii="宋体" w:hAnsi="宋体" w:eastAsia="宋体" w:cs="宋体"/>
                <w:sz w:val="24"/>
                <w:szCs w:val="24"/>
                <w:lang w:val="en-US" w:eastAsia="zh-CN"/>
              </w:rPr>
              <w:t>9</w:t>
            </w:r>
            <w:r>
              <w:rPr>
                <w:rFonts w:hint="eastAsia" w:ascii="宋体" w:hAnsi="宋体" w:eastAsia="宋体" w:cs="宋体"/>
                <w:sz w:val="24"/>
                <w:szCs w:val="24"/>
              </w:rPr>
              <w:t>分；</w:t>
            </w:r>
          </w:p>
          <w:p>
            <w:pPr>
              <w:keepNext w:val="0"/>
              <w:keepLines w:val="0"/>
              <w:pageBreakBefore w:val="0"/>
              <w:widowControl w:val="0"/>
              <w:numPr>
                <w:ilvl w:val="0"/>
                <w:numId w:val="0"/>
              </w:numPr>
              <w:kinsoku/>
              <w:wordWrap/>
              <w:overflowPunct/>
              <w:topLinePunct w:val="0"/>
              <w:bidi w:val="0"/>
              <w:snapToGrid/>
              <w:spacing w:line="42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服务质量保证方案内容基本完整、质量保证措施基本可行，基本满足项目实施需要，得</w:t>
            </w:r>
            <w:r>
              <w:rPr>
                <w:rFonts w:hint="eastAsia" w:ascii="宋体" w:hAnsi="宋体" w:eastAsia="宋体" w:cs="宋体"/>
                <w:sz w:val="24"/>
                <w:szCs w:val="24"/>
                <w:lang w:val="en-US" w:eastAsia="zh-CN"/>
              </w:rPr>
              <w:t>3</w:t>
            </w:r>
            <w:r>
              <w:rPr>
                <w:rFonts w:hint="eastAsia" w:ascii="宋体" w:hAnsi="宋体" w:eastAsia="宋体" w:cs="宋体"/>
                <w:sz w:val="24"/>
                <w:szCs w:val="24"/>
              </w:rPr>
              <w:t>分；</w:t>
            </w:r>
          </w:p>
          <w:p>
            <w:pPr>
              <w:widowControl w:val="0"/>
              <w:numPr>
                <w:ilvl w:val="-1"/>
                <w:numId w:val="0"/>
              </w:numPr>
              <w:snapToGrid/>
              <w:spacing w:line="360" w:lineRule="auto"/>
              <w:rPr>
                <w:rFonts w:hint="eastAsia" w:ascii="仿宋" w:hAnsi="仿宋" w:eastAsia="仿宋" w:cs="仿宋"/>
                <w:color w:val="auto"/>
                <w:sz w:val="30"/>
                <w:szCs w:val="30"/>
                <w:highlight w:val="none"/>
              </w:rPr>
            </w:pPr>
            <w:r>
              <w:rPr>
                <w:rFonts w:hint="eastAsia" w:ascii="宋体" w:hAnsi="宋体" w:eastAsia="宋体" w:cs="宋体"/>
                <w:sz w:val="24"/>
                <w:szCs w:val="24"/>
              </w:rPr>
              <w:t>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1492"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Style w:val="9"/>
                <w:rFonts w:hint="eastAsia" w:ascii="仿宋" w:hAnsi="仿宋" w:eastAsia="仿宋" w:cs="仿宋"/>
                <w:color w:val="auto"/>
                <w:sz w:val="30"/>
                <w:szCs w:val="30"/>
                <w:highlight w:val="none"/>
              </w:rPr>
              <w:t>合计</w:t>
            </w:r>
          </w:p>
        </w:tc>
        <w:tc>
          <w:tcPr>
            <w:tcW w:w="52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Style w:val="9"/>
                <w:rFonts w:hint="eastAsia" w:ascii="仿宋" w:hAnsi="仿宋" w:eastAsia="仿宋" w:cs="仿宋"/>
                <w:color w:val="auto"/>
                <w:sz w:val="30"/>
                <w:szCs w:val="30"/>
                <w:highlight w:val="none"/>
                <w:lang w:val="en-US" w:eastAsia="zh-CN"/>
              </w:rPr>
              <w:t>45</w:t>
            </w:r>
            <w:r>
              <w:rPr>
                <w:rStyle w:val="9"/>
                <w:rFonts w:hint="eastAsia" w:ascii="仿宋" w:hAnsi="仿宋" w:eastAsia="仿宋" w:cs="仿宋"/>
                <w:color w:val="auto"/>
                <w:sz w:val="30"/>
                <w:szCs w:val="30"/>
                <w:highlight w:val="none"/>
              </w:rPr>
              <w:t>分</w:t>
            </w:r>
          </w:p>
        </w:tc>
        <w:tc>
          <w:tcPr>
            <w:tcW w:w="2978"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9"/>
                <w:rFonts w:hint="eastAsia" w:ascii="仿宋" w:hAnsi="仿宋" w:eastAsia="仿宋" w:cs="仿宋"/>
                <w:color w:val="auto"/>
                <w:sz w:val="30"/>
                <w:szCs w:val="30"/>
                <w:highlight w:val="none"/>
              </w:rPr>
            </w:pPr>
          </w:p>
        </w:tc>
      </w:tr>
    </w:tbl>
    <w:p>
      <w:pPr>
        <w:spacing w:after="0"/>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附表</w:t>
      </w:r>
      <w:r>
        <w:rPr>
          <w:rFonts w:hint="eastAsia" w:ascii="仿宋" w:hAnsi="仿宋" w:eastAsia="仿宋" w:cs="仿宋"/>
          <w:b w:val="0"/>
          <w:bCs w:val="0"/>
          <w:color w:val="auto"/>
          <w:sz w:val="30"/>
          <w:szCs w:val="30"/>
          <w:highlight w:val="none"/>
          <w:lang w:val="en-US" w:eastAsia="zh-CN"/>
        </w:rPr>
        <w:t>二</w:t>
      </w:r>
      <w:r>
        <w:rPr>
          <w:rFonts w:hint="eastAsia" w:ascii="仿宋" w:hAnsi="仿宋" w:eastAsia="仿宋" w:cs="仿宋"/>
          <w:b w:val="0"/>
          <w:bCs w:val="0"/>
          <w:color w:val="auto"/>
          <w:sz w:val="30"/>
          <w:szCs w:val="30"/>
          <w:highlight w:val="none"/>
        </w:rPr>
        <w:t>:商务评分表(</w:t>
      </w:r>
      <w:r>
        <w:rPr>
          <w:rFonts w:hint="eastAsia" w:ascii="仿宋" w:hAnsi="仿宋" w:eastAsia="仿宋" w:cs="仿宋"/>
          <w:b w:val="0"/>
          <w:bCs w:val="0"/>
          <w:color w:val="auto"/>
          <w:sz w:val="30"/>
          <w:szCs w:val="30"/>
          <w:highlight w:val="none"/>
          <w:lang w:val="en-US" w:eastAsia="zh-CN"/>
        </w:rPr>
        <w:t>30</w:t>
      </w:r>
      <w:r>
        <w:rPr>
          <w:rFonts w:hint="eastAsia" w:ascii="仿宋" w:hAnsi="仿宋" w:eastAsia="仿宋" w:cs="仿宋"/>
          <w:b w:val="0"/>
          <w:bCs w:val="0"/>
          <w:color w:val="auto"/>
          <w:sz w:val="30"/>
          <w:szCs w:val="30"/>
          <w:highlight w:val="none"/>
        </w:rPr>
        <w:t>分)</w:t>
      </w:r>
    </w:p>
    <w:tbl>
      <w:tblPr>
        <w:tblStyle w:val="7"/>
        <w:tblW w:w="535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52"/>
        <w:gridCol w:w="1577"/>
        <w:gridCol w:w="657"/>
        <w:gridCol w:w="6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254"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Style w:val="9"/>
                <w:rFonts w:hint="eastAsia" w:ascii="仿宋" w:hAnsi="仿宋" w:eastAsia="仿宋" w:cs="仿宋"/>
                <w:b/>
                <w:bCs/>
                <w:color w:val="auto"/>
                <w:sz w:val="30"/>
                <w:szCs w:val="30"/>
                <w:highlight w:val="none"/>
              </w:rPr>
              <w:t>序号</w:t>
            </w:r>
          </w:p>
        </w:tc>
        <w:tc>
          <w:tcPr>
            <w:tcW w:w="885"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Style w:val="9"/>
                <w:rFonts w:hint="eastAsia" w:ascii="仿宋" w:hAnsi="仿宋" w:eastAsia="仿宋" w:cs="仿宋"/>
                <w:b/>
                <w:color w:val="auto"/>
                <w:sz w:val="30"/>
                <w:szCs w:val="30"/>
                <w:highlight w:val="none"/>
              </w:rPr>
              <w:t>评审内容</w:t>
            </w:r>
          </w:p>
        </w:tc>
        <w:tc>
          <w:tcPr>
            <w:tcW w:w="36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Style w:val="9"/>
                <w:rFonts w:hint="eastAsia" w:ascii="仿宋" w:hAnsi="仿宋" w:eastAsia="仿宋" w:cs="仿宋"/>
                <w:b/>
                <w:bCs/>
                <w:color w:val="auto"/>
                <w:sz w:val="30"/>
                <w:szCs w:val="30"/>
                <w:highlight w:val="none"/>
              </w:rPr>
              <w:t>分项分值</w:t>
            </w:r>
          </w:p>
        </w:tc>
        <w:tc>
          <w:tcPr>
            <w:tcW w:w="3490"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Style w:val="9"/>
                <w:rFonts w:hint="eastAsia" w:ascii="仿宋" w:hAnsi="仿宋" w:eastAsia="仿宋" w:cs="仿宋"/>
                <w:b/>
                <w:color w:val="auto"/>
                <w:sz w:val="30"/>
                <w:szCs w:val="30"/>
                <w:highlight w:val="none"/>
              </w:rPr>
              <w:t>评分细则及分值范围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5" w:hRule="atLeast"/>
          <w:jc w:val="center"/>
        </w:trPr>
        <w:tc>
          <w:tcPr>
            <w:tcW w:w="254"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lang w:val="en-US" w:eastAsia="zh-CN"/>
              </w:rPr>
            </w:pPr>
            <w:r>
              <w:rPr>
                <w:rStyle w:val="9"/>
                <w:rFonts w:hint="eastAsia" w:ascii="仿宋" w:hAnsi="仿宋" w:eastAsia="仿宋" w:cs="仿宋"/>
                <w:color w:val="auto"/>
                <w:sz w:val="30"/>
                <w:szCs w:val="30"/>
                <w:highlight w:val="none"/>
                <w:lang w:val="en-US" w:eastAsia="zh-CN"/>
              </w:rPr>
              <w:t>1</w:t>
            </w:r>
          </w:p>
        </w:tc>
        <w:tc>
          <w:tcPr>
            <w:tcW w:w="885"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类似业绩</w:t>
            </w:r>
            <w:r>
              <w:rPr>
                <w:rFonts w:hint="eastAsia" w:ascii="仿宋" w:hAnsi="仿宋" w:eastAsia="仿宋" w:cs="仿宋"/>
                <w:color w:val="auto"/>
                <w:sz w:val="30"/>
                <w:szCs w:val="30"/>
                <w:highlight w:val="none"/>
              </w:rPr>
              <w:t xml:space="preserve"> (</w:t>
            </w:r>
            <w:r>
              <w:rPr>
                <w:rFonts w:hint="eastAsia" w:ascii="仿宋" w:hAnsi="仿宋" w:eastAsia="仿宋" w:cs="仿宋"/>
                <w:color w:val="auto"/>
                <w:sz w:val="30"/>
                <w:szCs w:val="30"/>
                <w:highlight w:val="none"/>
                <w:lang w:val="en-US" w:eastAsia="zh-CN"/>
              </w:rPr>
              <w:t>16</w:t>
            </w:r>
            <w:r>
              <w:rPr>
                <w:rFonts w:hint="eastAsia" w:ascii="仿宋" w:hAnsi="仿宋" w:eastAsia="仿宋" w:cs="仿宋"/>
                <w:color w:val="auto"/>
                <w:sz w:val="30"/>
                <w:szCs w:val="30"/>
                <w:highlight w:val="none"/>
              </w:rPr>
              <w:t>.0分)</w:t>
            </w:r>
          </w:p>
        </w:tc>
        <w:tc>
          <w:tcPr>
            <w:tcW w:w="36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Style w:val="9"/>
                <w:rFonts w:hint="eastAsia" w:ascii="仿宋" w:hAnsi="仿宋" w:eastAsia="仿宋" w:cs="仿宋"/>
                <w:color w:val="auto"/>
                <w:sz w:val="30"/>
                <w:szCs w:val="30"/>
                <w:highlight w:val="none"/>
                <w:lang w:val="en-US" w:eastAsia="zh-CN"/>
              </w:rPr>
              <w:t>16</w:t>
            </w:r>
            <w:r>
              <w:rPr>
                <w:rStyle w:val="9"/>
                <w:rFonts w:hint="eastAsia" w:ascii="仿宋" w:hAnsi="仿宋" w:eastAsia="仿宋" w:cs="仿宋"/>
                <w:color w:val="auto"/>
                <w:sz w:val="30"/>
                <w:szCs w:val="30"/>
                <w:highlight w:val="none"/>
              </w:rPr>
              <w:t>分</w:t>
            </w:r>
          </w:p>
        </w:tc>
        <w:tc>
          <w:tcPr>
            <w:tcW w:w="3490" w:type="pc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overflowPunct/>
              <w:topLinePunct w:val="0"/>
              <w:bidi w:val="0"/>
              <w:spacing w:line="46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rPr>
              <w:t>根据</w:t>
            </w:r>
            <w:r>
              <w:rPr>
                <w:rFonts w:hint="eastAsia" w:ascii="宋体" w:hAnsi="宋体" w:eastAsia="宋体" w:cs="宋体"/>
                <w:color w:val="auto"/>
                <w:kern w:val="0"/>
                <w:sz w:val="24"/>
                <w:szCs w:val="24"/>
                <w:highlight w:val="none"/>
                <w:lang w:val="en-US" w:eastAsia="zh-CN"/>
              </w:rPr>
              <w:t>供应商自2019年1月1日起至今承接的项目业绩，每提供1个得4分，</w:t>
            </w:r>
            <w:r>
              <w:rPr>
                <w:rFonts w:hint="eastAsia" w:ascii="宋体" w:hAnsi="宋体" w:eastAsia="宋体" w:cs="宋体"/>
                <w:color w:val="auto"/>
                <w:kern w:val="0"/>
                <w:sz w:val="24"/>
                <w:szCs w:val="24"/>
                <w:highlight w:val="none"/>
                <w:lang w:val="en-US"/>
              </w:rPr>
              <w:t>本项最多得</w:t>
            </w:r>
            <w:r>
              <w:rPr>
                <w:rFonts w:hint="eastAsia" w:ascii="宋体" w:hAnsi="宋体" w:eastAsia="宋体" w:cs="宋体"/>
                <w:color w:val="auto"/>
                <w:kern w:val="0"/>
                <w:sz w:val="24"/>
                <w:szCs w:val="24"/>
                <w:highlight w:val="none"/>
                <w:lang w:val="en-US" w:eastAsia="zh-CN"/>
              </w:rPr>
              <w:t>16分。</w:t>
            </w:r>
          </w:p>
          <w:p>
            <w:pPr>
              <w:spacing w:line="360" w:lineRule="auto"/>
              <w:jc w:val="left"/>
              <w:rPr>
                <w:rFonts w:hint="eastAsia" w:ascii="仿宋" w:hAnsi="仿宋" w:eastAsia="仿宋" w:cs="仿宋"/>
                <w:color w:val="auto"/>
                <w:sz w:val="30"/>
                <w:szCs w:val="30"/>
                <w:highlight w:val="none"/>
                <w:lang w:val="en-US" w:eastAsia="zh-CN" w:bidi="ar-SA"/>
              </w:rPr>
            </w:pPr>
            <w:r>
              <w:rPr>
                <w:rFonts w:hint="eastAsia" w:ascii="宋体" w:hAnsi="宋体" w:eastAsia="宋体" w:cs="宋体"/>
                <w:color w:val="auto"/>
                <w:kern w:val="0"/>
                <w:sz w:val="24"/>
                <w:szCs w:val="24"/>
                <w:highlight w:val="none"/>
              </w:rPr>
              <w:t>(时间以合同签订时间为准,提供合同复印件,未提供证明材料或提供不齐全的不得分)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254"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lang w:val="en-US" w:eastAsia="zh-CN"/>
              </w:rPr>
            </w:pPr>
            <w:r>
              <w:rPr>
                <w:rStyle w:val="9"/>
                <w:rFonts w:hint="eastAsia" w:ascii="仿宋" w:hAnsi="仿宋" w:eastAsia="仿宋" w:cs="仿宋"/>
                <w:color w:val="auto"/>
                <w:sz w:val="30"/>
                <w:szCs w:val="30"/>
                <w:highlight w:val="none"/>
                <w:lang w:val="en-US" w:eastAsia="zh-CN"/>
              </w:rPr>
              <w:t>2</w:t>
            </w:r>
          </w:p>
        </w:tc>
        <w:tc>
          <w:tcPr>
            <w:tcW w:w="885"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lang w:bidi="ar"/>
              </w:rPr>
              <w:t>拟投入本项目的服务人员情况</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8</w:t>
            </w:r>
            <w:r>
              <w:rPr>
                <w:rFonts w:hint="eastAsia" w:ascii="仿宋" w:hAnsi="仿宋" w:eastAsia="仿宋" w:cs="仿宋"/>
                <w:color w:val="auto"/>
                <w:sz w:val="30"/>
                <w:szCs w:val="30"/>
                <w:highlight w:val="none"/>
              </w:rPr>
              <w:t>.0分)</w:t>
            </w:r>
          </w:p>
        </w:tc>
        <w:tc>
          <w:tcPr>
            <w:tcW w:w="36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Style w:val="9"/>
                <w:rFonts w:hint="eastAsia" w:ascii="仿宋" w:hAnsi="仿宋" w:eastAsia="仿宋" w:cs="仿宋"/>
                <w:color w:val="auto"/>
                <w:sz w:val="30"/>
                <w:szCs w:val="30"/>
                <w:highlight w:val="none"/>
                <w:lang w:val="en-US" w:eastAsia="zh-CN"/>
              </w:rPr>
              <w:t>8</w:t>
            </w:r>
            <w:r>
              <w:rPr>
                <w:rStyle w:val="9"/>
                <w:rFonts w:hint="eastAsia" w:ascii="仿宋" w:hAnsi="仿宋" w:eastAsia="仿宋" w:cs="仿宋"/>
                <w:color w:val="auto"/>
                <w:sz w:val="30"/>
                <w:szCs w:val="30"/>
                <w:highlight w:val="none"/>
              </w:rPr>
              <w:t>分</w:t>
            </w:r>
          </w:p>
        </w:tc>
        <w:tc>
          <w:tcPr>
            <w:tcW w:w="349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bidi w:val="0"/>
              <w:snapToGrid/>
              <w:spacing w:line="42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根据供应商拟投入本项目的服务人员情况进行评审：</w:t>
            </w:r>
          </w:p>
          <w:p>
            <w:pPr>
              <w:keepNext w:val="0"/>
              <w:keepLines w:val="0"/>
              <w:pageBreakBefore w:val="0"/>
              <w:widowControl w:val="0"/>
              <w:numPr>
                <w:ilvl w:val="0"/>
                <w:numId w:val="0"/>
              </w:numPr>
              <w:kinsoku/>
              <w:wordWrap/>
              <w:overflowPunct/>
              <w:topLinePunct w:val="0"/>
              <w:bidi w:val="0"/>
              <w:snapToGrid/>
              <w:spacing w:line="42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拟投入本项目的服务人员具有</w:t>
            </w:r>
            <w:r>
              <w:rPr>
                <w:rFonts w:hint="eastAsia" w:ascii="宋体" w:hAnsi="宋体" w:eastAsia="宋体" w:cs="宋体"/>
                <w:sz w:val="24"/>
                <w:szCs w:val="24"/>
                <w:lang w:val="en-US" w:eastAsia="zh-CN"/>
              </w:rPr>
              <w:t>大专</w:t>
            </w:r>
            <w:r>
              <w:rPr>
                <w:rFonts w:hint="eastAsia" w:ascii="宋体" w:hAnsi="宋体" w:eastAsia="宋体" w:cs="宋体"/>
                <w:sz w:val="24"/>
                <w:szCs w:val="24"/>
              </w:rPr>
              <w:t>或以上</w:t>
            </w:r>
            <w:r>
              <w:rPr>
                <w:rFonts w:hint="eastAsia" w:ascii="宋体" w:hAnsi="宋体" w:eastAsia="宋体" w:cs="宋体"/>
                <w:sz w:val="24"/>
                <w:szCs w:val="24"/>
                <w:lang w:val="en-US" w:eastAsia="zh-CN"/>
              </w:rPr>
              <w:t>学历</w:t>
            </w:r>
            <w:r>
              <w:rPr>
                <w:rFonts w:hint="eastAsia" w:ascii="宋体" w:hAnsi="宋体" w:eastAsia="宋体" w:cs="宋体"/>
                <w:sz w:val="24"/>
                <w:szCs w:val="24"/>
              </w:rPr>
              <w:t>的，每提供一个得</w:t>
            </w:r>
            <w:r>
              <w:rPr>
                <w:rFonts w:hint="eastAsia" w:ascii="宋体" w:hAnsi="宋体" w:eastAsia="宋体" w:cs="宋体"/>
                <w:sz w:val="24"/>
                <w:szCs w:val="24"/>
                <w:lang w:val="en-US" w:eastAsia="zh-CN"/>
              </w:rPr>
              <w:t>4</w:t>
            </w:r>
            <w:r>
              <w:rPr>
                <w:rFonts w:hint="eastAsia" w:ascii="宋体" w:hAnsi="宋体" w:eastAsia="宋体" w:cs="宋体"/>
                <w:sz w:val="24"/>
                <w:szCs w:val="24"/>
              </w:rPr>
              <w:t>分，本项最高得</w:t>
            </w:r>
            <w:r>
              <w:rPr>
                <w:rFonts w:hint="eastAsia" w:ascii="宋体" w:hAnsi="宋体" w:eastAsia="宋体" w:cs="宋体"/>
                <w:sz w:val="24"/>
                <w:szCs w:val="24"/>
                <w:lang w:val="en-US" w:eastAsia="zh-CN"/>
              </w:rPr>
              <w:t>8</w:t>
            </w:r>
            <w:r>
              <w:rPr>
                <w:rFonts w:hint="eastAsia" w:ascii="宋体" w:hAnsi="宋体" w:eastAsia="宋体" w:cs="宋体"/>
                <w:sz w:val="24"/>
                <w:szCs w:val="24"/>
              </w:rPr>
              <w:t>分。</w:t>
            </w:r>
          </w:p>
          <w:p>
            <w:pPr>
              <w:pStyle w:val="6"/>
              <w:wordWrap w:val="0"/>
              <w:snapToGrid/>
              <w:spacing w:before="0" w:after="0" w:line="360" w:lineRule="auto"/>
              <w:rPr>
                <w:rStyle w:val="9"/>
                <w:rFonts w:hint="eastAsia" w:ascii="仿宋" w:hAnsi="仿宋" w:eastAsia="仿宋" w:cs="仿宋"/>
                <w:color w:val="auto"/>
                <w:sz w:val="30"/>
                <w:szCs w:val="30"/>
                <w:highlight w:val="none"/>
              </w:rPr>
            </w:pPr>
            <w:r>
              <w:rPr>
                <w:rFonts w:hint="eastAsia" w:ascii="宋体" w:hAnsi="宋体" w:eastAsia="宋体" w:cs="宋体"/>
                <w:sz w:val="24"/>
                <w:szCs w:val="24"/>
              </w:rPr>
              <w:t>注：提供相关</w:t>
            </w:r>
            <w:r>
              <w:rPr>
                <w:rFonts w:hint="eastAsia" w:ascii="宋体" w:hAnsi="宋体" w:eastAsia="宋体" w:cs="宋体"/>
                <w:sz w:val="24"/>
                <w:szCs w:val="24"/>
                <w:lang w:val="en-US" w:eastAsia="zh-CN"/>
              </w:rPr>
              <w:t>学历证</w:t>
            </w:r>
            <w:r>
              <w:rPr>
                <w:rFonts w:hint="eastAsia" w:ascii="宋体" w:hAnsi="宋体" w:eastAsia="宋体" w:cs="宋体"/>
                <w:sz w:val="24"/>
                <w:szCs w:val="24"/>
              </w:rPr>
              <w:t>复印件，不提供不得分。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254"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default" w:ascii="仿宋" w:hAnsi="仿宋" w:eastAsia="仿宋" w:cs="仿宋"/>
                <w:color w:val="auto"/>
                <w:sz w:val="30"/>
                <w:szCs w:val="30"/>
                <w:highlight w:val="none"/>
                <w:lang w:val="en-US" w:eastAsia="zh-CN"/>
              </w:rPr>
            </w:pPr>
            <w:r>
              <w:rPr>
                <w:rStyle w:val="9"/>
                <w:rFonts w:hint="eastAsia" w:ascii="仿宋" w:hAnsi="仿宋" w:eastAsia="仿宋" w:cs="仿宋"/>
                <w:color w:val="auto"/>
                <w:sz w:val="30"/>
                <w:szCs w:val="30"/>
                <w:highlight w:val="none"/>
                <w:lang w:val="en-US" w:eastAsia="zh-CN"/>
              </w:rPr>
              <w:t>3</w:t>
            </w:r>
          </w:p>
        </w:tc>
        <w:tc>
          <w:tcPr>
            <w:tcW w:w="885"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default" w:ascii="仿宋" w:hAnsi="仿宋" w:eastAsia="仿宋" w:cs="仿宋"/>
                <w:color w:val="auto"/>
                <w:sz w:val="30"/>
                <w:szCs w:val="30"/>
                <w:highlight w:val="none"/>
                <w:lang w:val="en-US" w:bidi="ar"/>
              </w:rPr>
            </w:pPr>
            <w:r>
              <w:rPr>
                <w:rFonts w:hint="eastAsia" w:ascii="仿宋" w:hAnsi="仿宋" w:eastAsia="仿宋" w:cs="仿宋"/>
                <w:color w:val="auto"/>
                <w:sz w:val="30"/>
                <w:szCs w:val="30"/>
                <w:highlight w:val="none"/>
                <w:lang w:val="en-US" w:eastAsia="zh-CN" w:bidi="ar"/>
              </w:rPr>
              <w:t>服务保障能力（6.0分）</w:t>
            </w:r>
          </w:p>
        </w:tc>
        <w:tc>
          <w:tcPr>
            <w:tcW w:w="36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default" w:ascii="仿宋" w:hAnsi="仿宋" w:eastAsia="仿宋" w:cs="仿宋"/>
                <w:color w:val="auto"/>
                <w:sz w:val="30"/>
                <w:szCs w:val="30"/>
                <w:highlight w:val="none"/>
                <w:lang w:val="en-US" w:eastAsia="zh-CN"/>
              </w:rPr>
            </w:pPr>
            <w:r>
              <w:rPr>
                <w:rStyle w:val="9"/>
                <w:rFonts w:hint="eastAsia" w:ascii="仿宋" w:hAnsi="仿宋" w:eastAsia="仿宋" w:cs="仿宋"/>
                <w:color w:val="auto"/>
                <w:sz w:val="30"/>
                <w:szCs w:val="30"/>
                <w:highlight w:val="none"/>
                <w:lang w:val="en-US" w:eastAsia="zh-CN"/>
              </w:rPr>
              <w:t>6分</w:t>
            </w:r>
          </w:p>
        </w:tc>
        <w:tc>
          <w:tcPr>
            <w:tcW w:w="349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bidi w:val="0"/>
              <w:snapToGrid/>
              <w:spacing w:line="42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投标人承诺的服务响应时间：</w:t>
            </w:r>
            <w:bookmarkStart w:id="0" w:name="_GoBack"/>
            <w:bookmarkEnd w:id="0"/>
          </w:p>
          <w:p>
            <w:pPr>
              <w:keepNext w:val="0"/>
              <w:keepLines w:val="0"/>
              <w:pageBreakBefore w:val="0"/>
              <w:widowControl w:val="0"/>
              <w:numPr>
                <w:ilvl w:val="0"/>
                <w:numId w:val="0"/>
              </w:numPr>
              <w:kinsoku/>
              <w:wordWrap/>
              <w:overflowPunct/>
              <w:topLinePunct w:val="0"/>
              <w:bidi w:val="0"/>
              <w:snapToGrid/>
              <w:spacing w:line="42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服务响应时效性强，能够在1小时内（不含1小时）到场，得</w:t>
            </w:r>
            <w:r>
              <w:rPr>
                <w:rFonts w:hint="eastAsia" w:ascii="宋体" w:hAnsi="宋体" w:eastAsia="宋体" w:cs="宋体"/>
                <w:sz w:val="24"/>
                <w:szCs w:val="24"/>
                <w:lang w:val="en-US" w:eastAsia="zh-CN"/>
              </w:rPr>
              <w:t>6</w:t>
            </w:r>
            <w:r>
              <w:rPr>
                <w:rFonts w:hint="eastAsia" w:ascii="宋体" w:hAnsi="宋体" w:eastAsia="宋体" w:cs="宋体"/>
                <w:sz w:val="24"/>
                <w:szCs w:val="24"/>
              </w:rPr>
              <w:t>分；</w:t>
            </w:r>
          </w:p>
          <w:p>
            <w:pPr>
              <w:keepNext w:val="0"/>
              <w:keepLines w:val="0"/>
              <w:pageBreakBefore w:val="0"/>
              <w:widowControl w:val="0"/>
              <w:numPr>
                <w:ilvl w:val="0"/>
                <w:numId w:val="0"/>
              </w:numPr>
              <w:kinsoku/>
              <w:wordWrap/>
              <w:overflowPunct/>
              <w:topLinePunct w:val="0"/>
              <w:bidi w:val="0"/>
              <w:snapToGrid/>
              <w:spacing w:line="42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服务响应时效性较强，能够在</w:t>
            </w:r>
            <w:r>
              <w:rPr>
                <w:rFonts w:hint="eastAsia" w:ascii="宋体" w:hAnsi="宋体" w:eastAsia="宋体" w:cs="宋体"/>
                <w:sz w:val="24"/>
                <w:szCs w:val="24"/>
                <w:lang w:val="en-US" w:eastAsia="zh-CN"/>
              </w:rPr>
              <w:t>1.5</w:t>
            </w:r>
            <w:r>
              <w:rPr>
                <w:rFonts w:hint="eastAsia" w:ascii="宋体" w:hAnsi="宋体" w:eastAsia="宋体" w:cs="宋体"/>
                <w:sz w:val="24"/>
                <w:szCs w:val="24"/>
              </w:rPr>
              <w:t>小时（不含</w:t>
            </w:r>
            <w:r>
              <w:rPr>
                <w:rFonts w:hint="eastAsia" w:ascii="宋体" w:hAnsi="宋体" w:eastAsia="宋体" w:cs="宋体"/>
                <w:sz w:val="24"/>
                <w:szCs w:val="24"/>
                <w:lang w:val="en-US" w:eastAsia="zh-CN"/>
              </w:rPr>
              <w:t>1.5</w:t>
            </w:r>
            <w:r>
              <w:rPr>
                <w:rFonts w:hint="eastAsia" w:ascii="宋体" w:hAnsi="宋体" w:eastAsia="宋体" w:cs="宋体"/>
                <w:sz w:val="24"/>
                <w:szCs w:val="24"/>
              </w:rPr>
              <w:t>小时）到场，得</w:t>
            </w:r>
            <w:r>
              <w:rPr>
                <w:rFonts w:hint="eastAsia" w:ascii="宋体" w:hAnsi="宋体" w:eastAsia="宋体" w:cs="宋体"/>
                <w:sz w:val="24"/>
                <w:szCs w:val="24"/>
                <w:lang w:val="en-US" w:eastAsia="zh-CN"/>
              </w:rPr>
              <w:t>4</w:t>
            </w:r>
            <w:r>
              <w:rPr>
                <w:rFonts w:hint="eastAsia" w:ascii="宋体" w:hAnsi="宋体" w:eastAsia="宋体" w:cs="宋体"/>
                <w:sz w:val="24"/>
                <w:szCs w:val="24"/>
              </w:rPr>
              <w:t>分；</w:t>
            </w:r>
          </w:p>
          <w:p>
            <w:pPr>
              <w:keepNext w:val="0"/>
              <w:keepLines w:val="0"/>
              <w:pageBreakBefore w:val="0"/>
              <w:widowControl w:val="0"/>
              <w:numPr>
                <w:ilvl w:val="0"/>
                <w:numId w:val="0"/>
              </w:numPr>
              <w:kinsoku/>
              <w:wordWrap/>
              <w:overflowPunct/>
              <w:topLinePunct w:val="0"/>
              <w:bidi w:val="0"/>
              <w:snapToGrid/>
              <w:spacing w:line="42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服务响应时效在</w:t>
            </w:r>
            <w:r>
              <w:rPr>
                <w:rFonts w:hint="eastAsia" w:ascii="宋体" w:hAnsi="宋体" w:eastAsia="宋体" w:cs="宋体"/>
                <w:sz w:val="24"/>
                <w:szCs w:val="24"/>
                <w:lang w:val="en-US" w:eastAsia="zh-CN"/>
              </w:rPr>
              <w:t>2</w:t>
            </w:r>
            <w:r>
              <w:rPr>
                <w:rFonts w:hint="eastAsia" w:ascii="宋体" w:hAnsi="宋体" w:eastAsia="宋体" w:cs="宋体"/>
                <w:sz w:val="24"/>
                <w:szCs w:val="24"/>
              </w:rPr>
              <w:t>小时以上（不含</w:t>
            </w:r>
            <w:r>
              <w:rPr>
                <w:rFonts w:hint="eastAsia" w:ascii="宋体" w:hAnsi="宋体" w:eastAsia="宋体" w:cs="宋体"/>
                <w:sz w:val="24"/>
                <w:szCs w:val="24"/>
                <w:lang w:val="en-US" w:eastAsia="zh-CN"/>
              </w:rPr>
              <w:t>2</w:t>
            </w:r>
            <w:r>
              <w:rPr>
                <w:rFonts w:hint="eastAsia" w:ascii="宋体" w:hAnsi="宋体" w:eastAsia="宋体" w:cs="宋体"/>
                <w:sz w:val="24"/>
                <w:szCs w:val="24"/>
              </w:rPr>
              <w:t>小时）到场，得</w:t>
            </w:r>
            <w:r>
              <w:rPr>
                <w:rFonts w:hint="eastAsia" w:ascii="宋体" w:hAnsi="宋体" w:eastAsia="宋体" w:cs="宋体"/>
                <w:sz w:val="24"/>
                <w:szCs w:val="24"/>
                <w:lang w:val="en-US" w:eastAsia="zh-CN"/>
              </w:rPr>
              <w:t>2</w:t>
            </w:r>
            <w:r>
              <w:rPr>
                <w:rFonts w:hint="eastAsia" w:ascii="宋体" w:hAnsi="宋体" w:eastAsia="宋体" w:cs="宋体"/>
                <w:sz w:val="24"/>
                <w:szCs w:val="24"/>
              </w:rPr>
              <w:t>分。</w:t>
            </w:r>
          </w:p>
          <w:p>
            <w:pPr>
              <w:keepNext w:val="0"/>
              <w:keepLines w:val="0"/>
              <w:pageBreakBefore w:val="0"/>
              <w:widowControl w:val="0"/>
              <w:numPr>
                <w:ilvl w:val="0"/>
                <w:numId w:val="0"/>
              </w:numPr>
              <w:kinsoku/>
              <w:wordWrap/>
              <w:overflowPunct/>
              <w:topLinePunct w:val="0"/>
              <w:bidi w:val="0"/>
              <w:snapToGrid/>
              <w:spacing w:line="42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其他不得分。</w:t>
            </w:r>
          </w:p>
          <w:p>
            <w:pPr>
              <w:numPr>
                <w:ilvl w:val="-1"/>
                <w:numId w:val="0"/>
              </w:numPr>
              <w:spacing w:line="360" w:lineRule="auto"/>
              <w:jc w:val="left"/>
              <w:rPr>
                <w:rFonts w:hint="default" w:eastAsia="宋体"/>
                <w:color w:val="auto"/>
                <w:highlight w:val="none"/>
                <w:lang w:val="en-US" w:eastAsia="zh-CN"/>
              </w:rPr>
            </w:pPr>
            <w:r>
              <w:rPr>
                <w:rFonts w:hint="eastAsia" w:ascii="宋体" w:hAnsi="宋体" w:eastAsia="宋体" w:cs="宋体"/>
                <w:sz w:val="24"/>
                <w:szCs w:val="24"/>
              </w:rPr>
              <w:t>注：</w:t>
            </w:r>
            <w:r>
              <w:rPr>
                <w:rFonts w:hint="eastAsia" w:ascii="宋体" w:hAnsi="宋体" w:cs="宋体"/>
                <w:sz w:val="24"/>
                <w:szCs w:val="24"/>
                <w:lang w:val="en-US" w:eastAsia="zh-CN"/>
              </w:rPr>
              <w:t>提供承诺函，格式自拟，不提供不得分。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jc w:val="center"/>
        </w:trPr>
        <w:tc>
          <w:tcPr>
            <w:tcW w:w="1139"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Style w:val="9"/>
                <w:rFonts w:hint="eastAsia" w:ascii="仿宋" w:hAnsi="仿宋" w:eastAsia="仿宋" w:cs="仿宋"/>
                <w:color w:val="auto"/>
                <w:sz w:val="30"/>
                <w:szCs w:val="30"/>
                <w:highlight w:val="none"/>
              </w:rPr>
              <w:t>合计</w:t>
            </w:r>
          </w:p>
        </w:tc>
        <w:tc>
          <w:tcPr>
            <w:tcW w:w="36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Style w:val="9"/>
                <w:rFonts w:hint="eastAsia" w:ascii="仿宋" w:hAnsi="仿宋" w:eastAsia="仿宋" w:cs="仿宋"/>
                <w:color w:val="auto"/>
                <w:sz w:val="30"/>
                <w:szCs w:val="30"/>
                <w:highlight w:val="none"/>
                <w:lang w:val="en-US" w:eastAsia="zh-CN"/>
              </w:rPr>
              <w:t>30</w:t>
            </w:r>
            <w:r>
              <w:rPr>
                <w:rStyle w:val="9"/>
                <w:rFonts w:hint="eastAsia" w:ascii="仿宋" w:hAnsi="仿宋" w:eastAsia="仿宋" w:cs="仿宋"/>
                <w:color w:val="auto"/>
                <w:sz w:val="30"/>
                <w:szCs w:val="30"/>
                <w:highlight w:val="none"/>
              </w:rPr>
              <w:t>分</w:t>
            </w:r>
          </w:p>
        </w:tc>
        <w:tc>
          <w:tcPr>
            <w:tcW w:w="3490"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9"/>
                <w:rFonts w:hint="eastAsia" w:ascii="仿宋" w:hAnsi="仿宋" w:eastAsia="仿宋" w:cs="仿宋"/>
                <w:color w:val="auto"/>
                <w:sz w:val="30"/>
                <w:szCs w:val="30"/>
                <w:highlight w:val="none"/>
              </w:rPr>
            </w:pPr>
          </w:p>
        </w:tc>
      </w:tr>
    </w:tbl>
    <w:p>
      <w:pPr>
        <w:snapToGrid w:val="0"/>
        <w:spacing w:line="360" w:lineRule="auto"/>
        <w:jc w:val="left"/>
        <w:rPr>
          <w:rFonts w:hint="eastAsia" w:ascii="仿宋" w:hAnsi="仿宋" w:eastAsia="仿宋" w:cs="仿宋"/>
          <w:color w:val="auto"/>
          <w:sz w:val="30"/>
          <w:szCs w:val="30"/>
          <w:highlight w:val="none"/>
          <w:lang w:val="en-US" w:eastAsia="zh-CN" w:bidi="ar"/>
        </w:rPr>
      </w:pPr>
      <w:r>
        <w:rPr>
          <w:rFonts w:hint="eastAsia" w:ascii="仿宋" w:hAnsi="仿宋" w:eastAsia="仿宋" w:cs="仿宋"/>
          <w:color w:val="auto"/>
          <w:sz w:val="30"/>
          <w:szCs w:val="30"/>
          <w:highlight w:val="none"/>
          <w:lang w:val="en-US" w:eastAsia="zh-CN" w:bidi="ar"/>
        </w:rPr>
        <w:t>附表三：价格评分表（25分）</w:t>
      </w:r>
    </w:p>
    <w:tbl>
      <w:tblPr>
        <w:tblStyle w:val="7"/>
        <w:tblW w:w="534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52"/>
        <w:gridCol w:w="1575"/>
        <w:gridCol w:w="658"/>
        <w:gridCol w:w="6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254"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Style w:val="9"/>
                <w:rFonts w:hint="eastAsia" w:ascii="仿宋" w:hAnsi="仿宋" w:eastAsia="仿宋" w:cs="仿宋"/>
                <w:b/>
                <w:bCs/>
                <w:color w:val="auto"/>
                <w:sz w:val="30"/>
                <w:szCs w:val="30"/>
                <w:highlight w:val="none"/>
              </w:rPr>
              <w:t>序号</w:t>
            </w:r>
          </w:p>
        </w:tc>
        <w:tc>
          <w:tcPr>
            <w:tcW w:w="885"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Style w:val="9"/>
                <w:rFonts w:hint="eastAsia" w:ascii="仿宋" w:hAnsi="仿宋" w:eastAsia="仿宋" w:cs="仿宋"/>
                <w:b/>
                <w:color w:val="auto"/>
                <w:sz w:val="30"/>
                <w:szCs w:val="30"/>
                <w:highlight w:val="none"/>
              </w:rPr>
              <w:t>评审内容</w:t>
            </w:r>
          </w:p>
        </w:tc>
        <w:tc>
          <w:tcPr>
            <w:tcW w:w="370"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Style w:val="9"/>
                <w:rFonts w:hint="eastAsia" w:ascii="仿宋" w:hAnsi="仿宋" w:eastAsia="仿宋" w:cs="仿宋"/>
                <w:b/>
                <w:bCs/>
                <w:color w:val="auto"/>
                <w:sz w:val="30"/>
                <w:szCs w:val="30"/>
                <w:highlight w:val="none"/>
              </w:rPr>
              <w:t>分项分值</w:t>
            </w:r>
          </w:p>
        </w:tc>
        <w:tc>
          <w:tcPr>
            <w:tcW w:w="348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Style w:val="9"/>
                <w:rFonts w:hint="eastAsia" w:ascii="仿宋" w:hAnsi="仿宋" w:eastAsia="仿宋" w:cs="仿宋"/>
                <w:b/>
                <w:color w:val="auto"/>
                <w:sz w:val="30"/>
                <w:szCs w:val="30"/>
                <w:highlight w:val="none"/>
              </w:rPr>
              <w:t>评分细则及分值范围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jc w:val="center"/>
        </w:trPr>
        <w:tc>
          <w:tcPr>
            <w:tcW w:w="254"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color w:val="auto"/>
                <w:sz w:val="30"/>
                <w:szCs w:val="30"/>
                <w:highlight w:val="none"/>
              </w:rPr>
              <w:t>1</w:t>
            </w:r>
          </w:p>
        </w:tc>
        <w:tc>
          <w:tcPr>
            <w:tcW w:w="88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ind w:right="0" w:rightChars="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价格部分</w:t>
            </w:r>
            <w:r>
              <w:rPr>
                <w:rFonts w:hint="eastAsia" w:ascii="仿宋" w:hAnsi="仿宋" w:eastAsia="仿宋" w:cs="仿宋"/>
                <w:color w:val="auto"/>
                <w:sz w:val="30"/>
                <w:szCs w:val="30"/>
                <w:highlight w:val="none"/>
              </w:rPr>
              <w:t xml:space="preserve"> (</w:t>
            </w:r>
            <w:r>
              <w:rPr>
                <w:rFonts w:hint="eastAsia" w:ascii="仿宋" w:hAnsi="仿宋" w:eastAsia="仿宋" w:cs="仿宋"/>
                <w:color w:val="auto"/>
                <w:sz w:val="30"/>
                <w:szCs w:val="30"/>
                <w:highlight w:val="none"/>
                <w:lang w:val="en-US" w:eastAsia="zh-CN"/>
              </w:rPr>
              <w:t>25</w:t>
            </w:r>
            <w:r>
              <w:rPr>
                <w:rFonts w:hint="eastAsia" w:ascii="仿宋" w:hAnsi="仿宋" w:eastAsia="仿宋" w:cs="仿宋"/>
                <w:color w:val="auto"/>
                <w:sz w:val="30"/>
                <w:szCs w:val="30"/>
                <w:highlight w:val="none"/>
              </w:rPr>
              <w:t xml:space="preserve">.0分) </w:t>
            </w:r>
          </w:p>
        </w:tc>
        <w:tc>
          <w:tcPr>
            <w:tcW w:w="370"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仿宋" w:hAnsi="仿宋" w:eastAsia="仿宋" w:cs="仿宋"/>
                <w:color w:val="auto"/>
                <w:sz w:val="30"/>
                <w:szCs w:val="30"/>
                <w:highlight w:val="none"/>
              </w:rPr>
            </w:pPr>
            <w:r>
              <w:rPr>
                <w:rStyle w:val="9"/>
                <w:rFonts w:hint="eastAsia" w:ascii="仿宋" w:hAnsi="仿宋" w:eastAsia="仿宋" w:cs="仿宋"/>
                <w:color w:val="auto"/>
                <w:sz w:val="30"/>
                <w:szCs w:val="30"/>
                <w:highlight w:val="none"/>
                <w:lang w:val="en-US" w:eastAsia="zh-CN"/>
              </w:rPr>
              <w:t>25</w:t>
            </w:r>
            <w:r>
              <w:rPr>
                <w:rStyle w:val="9"/>
                <w:rFonts w:hint="eastAsia" w:ascii="仿宋" w:hAnsi="仿宋" w:eastAsia="仿宋" w:cs="仿宋"/>
                <w:color w:val="auto"/>
                <w:sz w:val="30"/>
                <w:szCs w:val="30"/>
                <w:highlight w:val="none"/>
              </w:rPr>
              <w:t>分</w:t>
            </w:r>
          </w:p>
        </w:tc>
        <w:tc>
          <w:tcPr>
            <w:tcW w:w="3489" w:type="pct"/>
            <w:tcBorders>
              <w:top w:val="single" w:color="000000" w:sz="4" w:space="0"/>
              <w:left w:val="single" w:color="000000" w:sz="4" w:space="0"/>
              <w:bottom w:val="single" w:color="000000" w:sz="4" w:space="0"/>
              <w:right w:val="single" w:color="000000" w:sz="4" w:space="0"/>
            </w:tcBorders>
            <w:vAlign w:val="center"/>
          </w:tcPr>
          <w:p>
            <w:pPr>
              <w:pStyle w:val="6"/>
              <w:numPr>
                <w:ilvl w:val="255"/>
                <w:numId w:val="0"/>
              </w:numPr>
              <w:wordWrap w:val="0"/>
              <w:snapToGrid/>
              <w:spacing w:before="0" w:after="0" w:line="360" w:lineRule="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lang w:eastAsia="zh-CN"/>
              </w:rPr>
              <w:t>供应商对本项目的报价必须在</w:t>
            </w:r>
            <w:r>
              <w:rPr>
                <w:rFonts w:hint="eastAsia" w:ascii="仿宋" w:hAnsi="仿宋" w:eastAsia="仿宋" w:cs="仿宋"/>
                <w:color w:val="auto"/>
                <w:sz w:val="30"/>
                <w:szCs w:val="30"/>
                <w:highlight w:val="none"/>
                <w:lang w:val="en-US" w:eastAsia="zh-CN"/>
              </w:rPr>
              <w:t>152000元以内；</w:t>
            </w:r>
          </w:p>
          <w:p>
            <w:pPr>
              <w:pStyle w:val="6"/>
              <w:numPr>
                <w:ilvl w:val="255"/>
                <w:numId w:val="0"/>
              </w:numPr>
              <w:wordWrap w:val="0"/>
              <w:snapToGrid/>
              <w:spacing w:before="0" w:after="0" w:line="360" w:lineRule="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lang w:eastAsia="zh-CN"/>
              </w:rPr>
              <w:t>价格评分=（评标基准价／投标价）×</w:t>
            </w:r>
            <w:r>
              <w:rPr>
                <w:rFonts w:hint="eastAsia" w:ascii="仿宋" w:hAnsi="仿宋" w:eastAsia="仿宋" w:cs="仿宋"/>
                <w:color w:val="auto"/>
                <w:sz w:val="30"/>
                <w:szCs w:val="30"/>
                <w:highlight w:val="none"/>
                <w:lang w:val="en-US" w:eastAsia="zh-CN"/>
              </w:rPr>
              <w:t>25</w:t>
            </w:r>
            <w:r>
              <w:rPr>
                <w:rFonts w:hint="eastAsia" w:ascii="仿宋" w:hAnsi="仿宋" w:eastAsia="仿宋" w:cs="仿宋"/>
                <w:color w:val="auto"/>
                <w:sz w:val="30"/>
                <w:szCs w:val="30"/>
                <w:highlight w:val="none"/>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jc w:val="center"/>
        </w:trPr>
        <w:tc>
          <w:tcPr>
            <w:tcW w:w="1139"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Style w:val="9"/>
                <w:rFonts w:hint="eastAsia" w:ascii="仿宋" w:hAnsi="仿宋" w:eastAsia="仿宋" w:cs="仿宋"/>
                <w:color w:val="auto"/>
                <w:sz w:val="30"/>
                <w:szCs w:val="30"/>
                <w:highlight w:val="none"/>
              </w:rPr>
              <w:t>合计</w:t>
            </w:r>
          </w:p>
        </w:tc>
        <w:tc>
          <w:tcPr>
            <w:tcW w:w="370"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9"/>
                <w:rFonts w:hint="eastAsia" w:ascii="仿宋" w:hAnsi="仿宋" w:eastAsia="仿宋" w:cs="仿宋"/>
                <w:color w:val="auto"/>
                <w:sz w:val="30"/>
                <w:szCs w:val="30"/>
                <w:highlight w:val="none"/>
              </w:rPr>
            </w:pPr>
            <w:r>
              <w:rPr>
                <w:rStyle w:val="9"/>
                <w:rFonts w:hint="eastAsia" w:ascii="仿宋" w:hAnsi="仿宋" w:eastAsia="仿宋" w:cs="仿宋"/>
                <w:color w:val="auto"/>
                <w:sz w:val="30"/>
                <w:szCs w:val="30"/>
                <w:highlight w:val="none"/>
                <w:lang w:val="en-US" w:eastAsia="zh-CN"/>
              </w:rPr>
              <w:t>25</w:t>
            </w:r>
            <w:r>
              <w:rPr>
                <w:rStyle w:val="9"/>
                <w:rFonts w:hint="eastAsia" w:ascii="仿宋" w:hAnsi="仿宋" w:eastAsia="仿宋" w:cs="仿宋"/>
                <w:color w:val="auto"/>
                <w:sz w:val="30"/>
                <w:szCs w:val="30"/>
                <w:highlight w:val="none"/>
              </w:rPr>
              <w:t>分</w:t>
            </w:r>
          </w:p>
        </w:tc>
        <w:tc>
          <w:tcPr>
            <w:tcW w:w="348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9"/>
                <w:rFonts w:hint="eastAsia" w:ascii="仿宋" w:hAnsi="仿宋" w:eastAsia="仿宋" w:cs="仿宋"/>
                <w:color w:val="auto"/>
                <w:sz w:val="30"/>
                <w:szCs w:val="30"/>
                <w:highlight w:val="none"/>
              </w:rPr>
            </w:pPr>
          </w:p>
        </w:tc>
      </w:tr>
    </w:tbl>
    <w:p>
      <w:pPr>
        <w:spacing w:beforeLines="50" w:afterLines="50" w:line="360" w:lineRule="auto"/>
        <w:jc w:val="both"/>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评审总得分=技术评分+商务评分+价格评分</w:t>
      </w:r>
    </w:p>
    <w:p>
      <w:pPr>
        <w:pStyle w:val="3"/>
        <w:rPr>
          <w:rFonts w:hint="eastAsia"/>
          <w:lang w:val="en-US" w:eastAsia="zh-CN"/>
        </w:rPr>
      </w:pPr>
    </w:p>
    <w:p>
      <w:pPr>
        <w:pStyle w:val="3"/>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1ODQxMmMzNjcxOTdmYjQwYjc1NWFjNDc0MDIzYjcifQ=="/>
  </w:docVars>
  <w:rsids>
    <w:rsidRoot w:val="00000000"/>
    <w:rsid w:val="05F67D69"/>
    <w:rsid w:val="08016EF3"/>
    <w:rsid w:val="173C03D5"/>
    <w:rsid w:val="18415557"/>
    <w:rsid w:val="1BA10D51"/>
    <w:rsid w:val="1BA11438"/>
    <w:rsid w:val="43DF06F2"/>
    <w:rsid w:val="4BE057B6"/>
    <w:rsid w:val="519C0401"/>
    <w:rsid w:val="522643B7"/>
    <w:rsid w:val="75684A4F"/>
    <w:rsid w:val="7AC10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before="120" w:after="120"/>
    </w:pPr>
    <w:rPr>
      <w:rFonts w:ascii="Calibri" w:hAnsi="Calibri" w:eastAsia="宋体" w:cs="Times New Roman"/>
      <w:sz w:val="21"/>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uiPriority w:val="0"/>
    <w:pPr>
      <w:ind w:firstLine="420"/>
    </w:pPr>
    <w:rPr>
      <w:szCs w:val="20"/>
    </w:rPr>
  </w:style>
  <w:style w:type="paragraph" w:styleId="3">
    <w:name w:val="Body Text"/>
    <w:basedOn w:val="1"/>
    <w:next w:val="4"/>
    <w:autoRedefine/>
    <w:unhideWhenUsed/>
    <w:qFormat/>
    <w:uiPriority w:val="99"/>
  </w:style>
  <w:style w:type="paragraph" w:styleId="4">
    <w:name w:val="Body Text First Indent"/>
    <w:basedOn w:val="3"/>
    <w:next w:val="5"/>
    <w:autoRedefine/>
    <w:qFormat/>
    <w:uiPriority w:val="0"/>
    <w:pPr>
      <w:spacing w:after="120"/>
      <w:ind w:firstLine="420" w:firstLineChars="100"/>
    </w:pPr>
    <w:rPr>
      <w:lang w:val="en-US" w:eastAsia="zh-CN" w:bidi="ar-SA"/>
    </w:rPr>
  </w:style>
  <w:style w:type="paragraph" w:customStyle="1" w:styleId="5">
    <w:name w:val="样式 正文首行缩进 + 宋体 小四 首行缩进:  1 字符"/>
    <w:basedOn w:val="1"/>
    <w:next w:val="1"/>
    <w:qFormat/>
    <w:uiPriority w:val="0"/>
    <w:pPr>
      <w:spacing w:after="120" w:afterLines="0" w:line="360" w:lineRule="auto"/>
      <w:ind w:firstLine="150" w:firstLineChars="150"/>
    </w:pPr>
    <w:rPr>
      <w:rFonts w:ascii="宋体" w:hAnsi="宋体"/>
      <w:sz w:val="24"/>
      <w:szCs w:val="20"/>
    </w:rPr>
  </w:style>
  <w:style w:type="paragraph" w:styleId="6">
    <w:name w:val="footer"/>
    <w:basedOn w:val="1"/>
    <w:autoRedefine/>
    <w:unhideWhenUsed/>
    <w:qFormat/>
    <w:uiPriority w:val="0"/>
    <w:pPr>
      <w:tabs>
        <w:tab w:val="center" w:pos="4153"/>
        <w:tab w:val="right" w:pos="8306"/>
      </w:tabs>
      <w:snapToGrid w:val="0"/>
    </w:pPr>
    <w:rPr>
      <w:sz w:val="18"/>
      <w:szCs w:val="18"/>
    </w:rPr>
  </w:style>
  <w:style w:type="character" w:customStyle="1" w:styleId="9">
    <w:name w:val="NormalCharacter"/>
    <w:semiHidden/>
    <w:qFormat/>
    <w:uiPriority w:val="0"/>
  </w:style>
  <w:style w:type="paragraph" w:customStyle="1" w:styleId="10">
    <w:name w:val="Default New"/>
    <w:autoRedefine/>
    <w:qFormat/>
    <w:uiPriority w:val="0"/>
    <w:pPr>
      <w:widowControl w:val="0"/>
      <w:autoSpaceDE w:val="0"/>
      <w:autoSpaceDN w:val="0"/>
      <w:adjustRightInd w:val="0"/>
    </w:pPr>
    <w:rPr>
      <w:rFonts w:ascii="Verdana" w:hAnsi="Verdana" w:eastAsia="宋体" w:cs="Verdana"/>
      <w:color w:val="000000"/>
      <w:sz w:val="24"/>
      <w:szCs w:val="24"/>
      <w:lang w:val="fr-FR"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1302</Words>
  <Characters>1381</Characters>
  <Lines>0</Lines>
  <Paragraphs>0</Paragraphs>
  <TotalTime>4</TotalTime>
  <ScaleCrop>false</ScaleCrop>
  <LinksUpToDate>false</LinksUpToDate>
  <CharactersWithSpaces>1389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2023-03-22T03:17:00Z</dcterms:created>
  <dc:creator>Administrator</dc:creator>
  <cp:lastModifiedBy>who are you</cp:lastModifiedBy>
  <dcterms:modified xsi:type="dcterms:W3CDTF">2024-04-19T06:40:51Z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4BE487C815F44EC88A7F05DB3A6CB6F6</vt:lpwstr>
  </property>
</Properties>
</file>